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0"/>
        <w:rPr>
          <w:rFonts w:hint="eastAsia" w:ascii="仿宋" w:hAnsi="仿宋" w:eastAsia="仿宋" w:cs="仿宋"/>
          <w:b/>
          <w:spacing w:val="-70"/>
          <w:sz w:val="24"/>
          <w:szCs w:val="24"/>
        </w:rPr>
      </w:pPr>
    </w:p>
    <w:p>
      <w:pPr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792345" cy="1028065"/>
            <wp:effectExtent l="0" t="0" r="8255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30" cy="10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mc:AlternateContent>
          <mc:Choice Requires="wpg">
            <w:drawing>
              <wp:inline distT="0" distB="0" distL="0" distR="0">
                <wp:extent cx="5278120" cy="1590675"/>
                <wp:effectExtent l="0" t="0" r="0" b="9525"/>
                <wp:docPr id="19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1590675"/>
                          <a:chOff x="0" y="0"/>
                          <a:chExt cx="53263" cy="32823"/>
                        </a:xfrm>
                      </wpg:grpSpPr>
                      <wps:wsp>
                        <wps:cNvPr id="46" name="AutoShap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6438"/>
                            <a:ext cx="44558" cy="1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szCs w:val="21"/>
                                </w:rPr>
                                <w:t>400-998-0000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26" o:spid="_x0000_s1026" o:spt="203" style="height:125.25pt;width:415.6pt;" coordsize="53263,32823" o:gfxdata="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JtCmazWAAAABQEAAA8AAAAAAAAAAQAgAAAAIgAAAGRycy9kb3ducmV2LnhtbFBLAQIU&#10;ABQAAAAIAIdO4kCmUQuZEgMAAM4JAAAOAAAAAAAAAAEAIAAAACUBAABkcnMvZTJvRG9jLnhtbFBL&#10;BQYAAAAABgAGAFkBAACpBgAAAAA=&#10;">
                <o:lock v:ext="edit" aspectratio="f"/>
                <v:rect id="AutoShape 30" o:spid="_x0000_s1026" o:spt="1" style="position:absolute;left:0;top:0;height:32823;width:53263;" filled="f" stroked="f" coordsize="21600,21600" o:gfxdata="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bb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4e3Al7sAAADb&#10;AAAADwAAAGRycy9kb3ducmV2LnhtbEWPzYoCMRCE74LvEFrwIppRFpXR6MEfcPWk6wO0k3YyOOmM&#10;kzjq25uFhT0WVfUVNV++bCkaqn3hWMFwkIAgzpwuOFdw/tn2pyB8QNZYOiYFb/KwXLRbc0y1e/KR&#10;mlPIRYSwT1GBCaFKpfSZIYt+4Cri6F1dbTFEWedS1/iMcFvKUZKMpcWC44LBilaGstvpYRU0E/r2&#10;l/2GLuu17Bk6Nnc+XJXqdobJDESgV/gP/7V3WsHXBH6/xB8gF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3Al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6438;height:19623;width:44558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szCs w:val="21"/>
                          </w:rPr>
                          <w:t>400-998-0000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jc w:val="center"/>
        <w:rPr>
          <w:rFonts w:hint="eastAsia" w:ascii="仿宋" w:hAnsi="仿宋" w:eastAsia="仿宋" w:cs="仿宋"/>
          <w:b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sz w:val="44"/>
          <w:szCs w:val="44"/>
          <w:lang w:val="en-US" w:eastAsia="zh-CN"/>
        </w:rPr>
        <w:t>吐鲁番市公共资源交易平台</w:t>
      </w:r>
    </w:p>
    <w:p>
      <w:pPr>
        <w:ind w:firstLine="0" w:firstLineChars="0"/>
        <w:jc w:val="center"/>
        <w:rPr>
          <w:rFonts w:hint="eastAsia" w:ascii="仿宋" w:hAnsi="仿宋" w:eastAsia="仿宋" w:cs="仿宋"/>
          <w:b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sz w:val="44"/>
          <w:szCs w:val="44"/>
          <w:lang w:val="en-US" w:eastAsia="zh-CN"/>
        </w:rPr>
        <w:t>产权竞买</w:t>
      </w:r>
      <w:r>
        <w:rPr>
          <w:rFonts w:hint="eastAsia" w:ascii="仿宋" w:hAnsi="仿宋" w:eastAsia="仿宋" w:cs="仿宋"/>
          <w:b/>
          <w:sz w:val="44"/>
          <w:szCs w:val="44"/>
        </w:rPr>
        <w:t>操作</w:t>
      </w:r>
      <w:r>
        <w:rPr>
          <w:rFonts w:hint="eastAsia" w:ascii="仿宋" w:hAnsi="仿宋" w:eastAsia="仿宋" w:cs="仿宋"/>
          <w:b/>
          <w:sz w:val="44"/>
          <w:szCs w:val="44"/>
          <w:lang w:val="en-US" w:eastAsia="zh-CN"/>
        </w:rPr>
        <w:t>指南</w:t>
      </w:r>
    </w:p>
    <w:p>
      <w:pPr>
        <w:pStyle w:val="56"/>
        <w:ind w:firstLine="36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36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36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36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36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6"/>
        <w:ind w:firstLine="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jc w:val="center"/>
        <w:rPr>
          <w:rFonts w:hint="eastAsia" w:ascii="仿宋" w:hAnsi="仿宋" w:eastAsia="仿宋" w:cs="仿宋"/>
          <w:b/>
          <w:spacing w:val="200"/>
          <w:sz w:val="24"/>
          <w:szCs w:val="24"/>
        </w:rPr>
      </w:pPr>
      <w:bookmarkStart w:id="6" w:name="_GoBack"/>
      <w:r>
        <w:rPr>
          <w:rFonts w:hint="eastAsia" w:ascii="仿宋" w:hAnsi="仿宋" w:eastAsia="仿宋" w:cs="仿宋"/>
          <w:b/>
          <w:spacing w:val="200"/>
          <w:sz w:val="24"/>
          <w:szCs w:val="24"/>
        </w:rPr>
        <w:t>目录</w:t>
      </w:r>
    </w:p>
    <w:p>
      <w:pPr>
        <w:pStyle w:val="28"/>
        <w:tabs>
          <w:tab w:val="right" w:leader="dot" w:pos="9746"/>
        </w:tabs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TOC \o "4-5" \h \z \t "标题 1,1,标题 2,2,标题 3,3"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_Toc23635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eastAsia" w:ascii="仿宋" w:hAnsi="仿宋" w:eastAsia="仿宋" w:cs="仿宋"/>
          <w:szCs w:val="24"/>
          <w:lang w:val="en-US" w:eastAsia="zh-CN"/>
        </w:rPr>
        <w:t>一、 产权竞买操作指南</w:t>
      </w:r>
      <w:r>
        <w:tab/>
      </w:r>
      <w:r>
        <w:fldChar w:fldCharType="begin"/>
      </w:r>
      <w:r>
        <w:instrText xml:space="preserve"> PAGEREF _Toc23635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34"/>
        <w:tabs>
          <w:tab w:val="right" w:leader="dot" w:pos="9746"/>
        </w:tabs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_Toc9386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default" w:ascii="Times New Roman" w:hAnsi="Times New Roman" w:eastAsia="仿宋" w:cs="Times New Roman"/>
          <w:szCs w:val="30"/>
          <w:lang w:val="en-US" w:eastAsia="zh-CN"/>
        </w:rPr>
        <w:t xml:space="preserve">1.1、 </w:t>
      </w:r>
      <w:r>
        <w:rPr>
          <w:rFonts w:hint="eastAsia" w:ascii="仿宋" w:hAnsi="仿宋" w:eastAsia="仿宋" w:cs="仿宋"/>
          <w:szCs w:val="24"/>
          <w:lang w:val="en-US" w:eastAsia="zh-CN"/>
        </w:rPr>
        <w:t>项目报名</w:t>
      </w:r>
      <w:r>
        <w:tab/>
      </w:r>
      <w:r>
        <w:fldChar w:fldCharType="begin"/>
      </w:r>
      <w:r>
        <w:instrText xml:space="preserve"> PAGEREF _Toc9386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34"/>
        <w:tabs>
          <w:tab w:val="right" w:leader="dot" w:pos="9746"/>
        </w:tabs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_Toc11742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default" w:ascii="Times New Roman" w:hAnsi="Times New Roman" w:cs="Times New Roman"/>
          <w:szCs w:val="30"/>
          <w:lang w:val="en-US" w:eastAsia="zh-CN"/>
        </w:rPr>
        <w:t xml:space="preserve">1.2、 </w:t>
      </w:r>
      <w:r>
        <w:rPr>
          <w:rFonts w:hint="eastAsia"/>
          <w:lang w:val="en-US" w:eastAsia="zh-CN"/>
        </w:rPr>
        <w:t>竞买申请书</w:t>
      </w:r>
      <w:r>
        <w:tab/>
      </w:r>
      <w:r>
        <w:fldChar w:fldCharType="begin"/>
      </w:r>
      <w:r>
        <w:instrText xml:space="preserve"> PAGEREF _Toc11742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34"/>
        <w:tabs>
          <w:tab w:val="right" w:leader="dot" w:pos="9746"/>
        </w:tabs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_Toc11979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default" w:ascii="Times New Roman" w:hAnsi="Times New Roman" w:cs="Times New Roman"/>
          <w:szCs w:val="30"/>
          <w:lang w:val="en-US" w:eastAsia="zh-CN"/>
        </w:rPr>
        <w:t xml:space="preserve">1.3、 </w:t>
      </w:r>
      <w:r>
        <w:rPr>
          <w:rFonts w:hint="eastAsia"/>
          <w:lang w:val="en-US" w:eastAsia="zh-CN"/>
        </w:rPr>
        <w:t>挂牌期网络竞价</w:t>
      </w:r>
      <w:r>
        <w:tab/>
      </w:r>
      <w:r>
        <w:fldChar w:fldCharType="begin"/>
      </w:r>
      <w:r>
        <w:instrText xml:space="preserve"> PAGEREF _Toc11979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34"/>
        <w:tabs>
          <w:tab w:val="right" w:leader="dot" w:pos="9746"/>
        </w:tabs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_Toc19667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default" w:ascii="Times New Roman" w:hAnsi="Times New Roman" w:cs="Times New Roman"/>
          <w:szCs w:val="30"/>
          <w:lang w:val="en-US" w:eastAsia="zh-CN"/>
        </w:rPr>
        <w:t xml:space="preserve">1.4、 </w:t>
      </w:r>
      <w:r>
        <w:rPr>
          <w:rFonts w:hint="eastAsia"/>
          <w:lang w:val="en-US" w:eastAsia="zh-CN"/>
        </w:rPr>
        <w:t>延时竞价</w:t>
      </w:r>
      <w:r>
        <w:tab/>
      </w:r>
      <w:r>
        <w:fldChar w:fldCharType="begin"/>
      </w:r>
      <w:r>
        <w:instrText xml:space="preserve"> PAGEREF _Toc19667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34"/>
        <w:tabs>
          <w:tab w:val="right" w:leader="dot" w:pos="9746"/>
        </w:tabs>
      </w:pPr>
      <w:r>
        <w:rPr>
          <w:rFonts w:hint="eastAsia" w:ascii="仿宋" w:hAnsi="仿宋" w:eastAsia="仿宋" w:cs="仿宋"/>
          <w:szCs w:val="24"/>
        </w:rPr>
        <w:fldChar w:fldCharType="begin"/>
      </w:r>
      <w:r>
        <w:rPr>
          <w:rFonts w:hint="eastAsia" w:ascii="仿宋" w:hAnsi="仿宋" w:eastAsia="仿宋" w:cs="仿宋"/>
          <w:szCs w:val="24"/>
        </w:rPr>
        <w:instrText xml:space="preserve"> HYPERLINK \l _Toc27902 </w:instrText>
      </w:r>
      <w:r>
        <w:rPr>
          <w:rFonts w:hint="eastAsia" w:ascii="仿宋" w:hAnsi="仿宋" w:eastAsia="仿宋" w:cs="仿宋"/>
          <w:szCs w:val="24"/>
        </w:rPr>
        <w:fldChar w:fldCharType="separate"/>
      </w:r>
      <w:r>
        <w:rPr>
          <w:rFonts w:hint="default" w:ascii="Times New Roman" w:hAnsi="Times New Roman" w:cs="Times New Roman"/>
          <w:szCs w:val="30"/>
          <w:lang w:val="en-US" w:eastAsia="zh-CN"/>
        </w:rPr>
        <w:t xml:space="preserve">1.5、 </w:t>
      </w:r>
      <w:r>
        <w:rPr>
          <w:rFonts w:hint="eastAsia"/>
          <w:lang w:val="en-US" w:eastAsia="zh-CN"/>
        </w:rPr>
        <w:t>产权成交</w:t>
      </w:r>
      <w:r>
        <w:tab/>
      </w:r>
      <w:r>
        <w:fldChar w:fldCharType="begin"/>
      </w:r>
      <w:r>
        <w:instrText xml:space="preserve"> PAGEREF _Toc27902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仿宋" w:hAnsi="仿宋" w:eastAsia="仿宋" w:cs="仿宋"/>
          <w:szCs w:val="24"/>
        </w:rPr>
        <w:fldChar w:fldCharType="end"/>
      </w:r>
    </w:p>
    <w:p>
      <w:pPr>
        <w:pStyle w:val="56"/>
        <w:spacing w:line="240" w:lineRule="auto"/>
        <w:ind w:firstLine="36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Cs w:val="24"/>
        </w:rPr>
        <w:fldChar w:fldCharType="end"/>
      </w:r>
    </w:p>
    <w:bookmarkEnd w:id="6"/>
    <w:p>
      <w:pPr>
        <w:pStyle w:val="8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0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0" w:firstLineChars="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page"/>
      </w:r>
    </w:p>
    <w:p>
      <w:pPr>
        <w:pStyle w:val="2"/>
        <w:bidi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0" w:name="_Toc23635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产权竞买操作指南</w:t>
      </w:r>
      <w:bookmarkEnd w:id="0"/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操作前提：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（1）已经按照《</w:t>
      </w:r>
      <w:r>
        <w:rPr>
          <w:rFonts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fldChar w:fldCharType="begin"/>
      </w:r>
      <w:r>
        <w:rPr>
          <w:rFonts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instrText xml:space="preserve"> HYPERLINK "http://ggzy.tlfzw.cn/tulufanggzy/bzzx/012001/20220622/82af292e-a316-4c80-b0ca-975398f08191.html" \o "企业入库操作指南" \t "http://ggzy.tlfzw.cn/tulufanggzy/bzzx/_blank" </w:instrText>
      </w:r>
      <w:r>
        <w:rPr>
          <w:rFonts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fldChar w:fldCharType="separate"/>
      </w:r>
      <w:r>
        <w:rPr>
          <w:rStyle w:val="45"/>
          <w:rFonts w:hint="default"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t>企业入库操作指南</w:t>
      </w:r>
      <w:r>
        <w:rPr>
          <w:rFonts w:hint="default"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》在吐鲁番市公共资源交易网免费注册、完善单位信息并审核通过；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已经按照公告要求及《</w:t>
      </w:r>
      <w:r>
        <w:rPr>
          <w:rFonts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fldChar w:fldCharType="begin"/>
      </w:r>
      <w:r>
        <w:rPr>
          <w:rFonts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instrText xml:space="preserve"> HYPERLINK "http://ggzy.tlfzw.cn/tulufanggzy/bzzx/012001/20220622/3f326d8f-cea3-4e49-bfff-d59c6a99cc24.html" \o "新疆CA数字证书线上办理指南" \t "http://ggzy.tlfzw.cn/tulufanggzy/bzzx/_blank" </w:instrText>
      </w:r>
      <w:r>
        <w:rPr>
          <w:rFonts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fldChar w:fldCharType="separate"/>
      </w:r>
      <w:r>
        <w:rPr>
          <w:rStyle w:val="45"/>
          <w:rFonts w:hint="default"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t>新疆CA数字证书线上办理指南</w:t>
      </w:r>
      <w:r>
        <w:rPr>
          <w:rFonts w:hint="default" w:ascii="SourceHanSansCN-Regular" w:hAnsi="SourceHanSansCN-Regular" w:eastAsia="SourceHanSansCN-Regular" w:cs="SourceHanSansCN-Regular"/>
          <w:i w:val="0"/>
          <w:iCs w:val="0"/>
          <w:caps w:val="0"/>
          <w:color w:val="666666"/>
          <w:spacing w:val="0"/>
          <w:sz w:val="19"/>
          <w:szCs w:val="19"/>
          <w:u w:val="none"/>
          <w:shd w:val="clear" w:fill="EBF3FF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》办理CA证书并安装驱动；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使用已注册的单位账号或者CA证书登录“吐鲁番市公共资源交易平台”</w:t>
      </w:r>
    </w:p>
    <w:p>
      <w:pPr>
        <w:pStyle w:val="3"/>
        <w:bidi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1" w:name="_Toc9386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项目报名</w:t>
      </w:r>
      <w:bookmarkEnd w:id="1"/>
    </w:p>
    <w:p>
      <w:pPr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第一步：公告及相关项目资料查看</w:t>
      </w:r>
    </w:p>
    <w:p>
      <w:p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如下图所示，在吐鲁番市公共资源交易网站的“交易大厅”模块，选择“产权交易”栏目，根据实际需要，输入产权项目名称等信息，点击“</w:t>
      </w:r>
      <w:r>
        <w:drawing>
          <wp:inline distT="0" distB="0" distL="114300" distR="114300">
            <wp:extent cx="519430" cy="297180"/>
            <wp:effectExtent l="0" t="0" r="13970" b="762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”，查找对应产权交易项目。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8710" cy="3261995"/>
            <wp:effectExtent l="0" t="0" r="13970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第二步：登录吐鲁番是公共资源交易系统，查找欲报名项目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根据单位注册的账号，或已激活的CA数字证书，登录吐鲁番是公共资源交易平台，可点击查看“新点标证通”的内容，若无需查看，直接关闭改弹窗即可；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183630" cy="32727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点击“招标公告”模块后，选择“权益交易”业务，即可查看正在报名中的产权交易项目，也可根据实际需要选择查看其他状态项目。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3630" cy="2762250"/>
            <wp:effectExtent l="0" t="0" r="3810" b="1143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可根据实际需要，输入产权交易项目名称，搜索所需项目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8710" cy="3068320"/>
            <wp:effectExtent l="0" t="0" r="1397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第三步：项目报名</w:t>
      </w:r>
    </w:p>
    <w:p>
      <w:pPr>
        <w:ind w:left="0" w:leftChars="0" w:firstLine="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选择欲报名项目，点击“我要报名”进入“阅读报名规则”查看页面，阅读报名规则，若无异议，点击“同意”按钮。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8710" cy="3258820"/>
            <wp:effectExtent l="0" t="0" r="13970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11742"/>
      <w:r>
        <w:rPr>
          <w:rFonts w:hint="eastAsia"/>
          <w:lang w:val="en-US" w:eastAsia="zh-CN"/>
        </w:rPr>
        <w:t>竞买申请书</w:t>
      </w:r>
      <w:bookmarkEnd w:id="2"/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第一步：选择竞买方式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点击“单独申请”按钮或“联合申请”按钮进入信息填写页面。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8710" cy="3258820"/>
            <wp:effectExtent l="0" t="0" r="1397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8710" cy="3258820"/>
            <wp:effectExtent l="0" t="0" r="1397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8710" cy="3258820"/>
            <wp:effectExtent l="0" t="0" r="13970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第二步：上传报名资料</w:t>
      </w:r>
    </w:p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上传公告要求的报名资料，点击上传后的文件名称可按照下列步骤签章，所有工作完成后点击“申请”按钮。</w:t>
      </w:r>
      <w:r>
        <w:drawing>
          <wp:inline distT="0" distB="0" distL="114300" distR="114300">
            <wp:extent cx="6188710" cy="3258820"/>
            <wp:effectExtent l="0" t="0" r="13970" b="25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6182995" cy="3302635"/>
            <wp:effectExtent l="0" t="0" r="4445" b="444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drawing>
          <wp:inline distT="0" distB="0" distL="114300" distR="114300">
            <wp:extent cx="381000" cy="396240"/>
            <wp:effectExtent l="0" t="0" r="0" b="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”按钮，在弹出的“请输入密码”页面输入框内，输入CA证书的密码，点击“确定”按钮。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4265" cy="3242945"/>
            <wp:effectExtent l="0" t="0" r="3175" b="317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选择签章名称，根据实际需要选择加盖的章类型，点击“确认”按钮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3630" cy="3125470"/>
            <wp:effectExtent l="0" t="0" r="3810" b="1397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鼠标拖动电子章图片，放置到需要签章的位置，点击鼠标左建，完成电子签章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1725" cy="2915920"/>
            <wp:effectExtent l="0" t="0" r="5715" b="1016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注：若使用“手机扫码签章”则点击“</w:t>
      </w:r>
      <w:r>
        <w:drawing>
          <wp:inline distT="0" distB="0" distL="114300" distR="114300">
            <wp:extent cx="381000" cy="396240"/>
            <wp:effectExtent l="0" t="0" r="0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”按钮后，需使用已注册好的移动数字证书（标证通）进行扫码签章，签章操作步骤和实体CA证书签章一致；</w:t>
      </w:r>
    </w:p>
    <w:p>
      <w:pPr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上传材料前请先查看样例，PDF纸张大小：标准A4纸张（21厘米*29.7厘米）</w:t>
      </w:r>
    </w:p>
    <w:p>
      <w:pPr>
        <w:ind w:left="0" w:leftChars="0" w:firstLine="0" w:firstLineChars="0"/>
      </w:pPr>
      <w:r>
        <w:rPr>
          <w:rFonts w:hint="default" w:eastAsia="宋体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28">
            <o:LockedField>false</o:LockedField>
          </o:OLEObject>
        </w:object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11979"/>
      <w:r>
        <w:rPr>
          <w:rFonts w:hint="eastAsia"/>
          <w:lang w:val="en-US" w:eastAsia="zh-CN"/>
        </w:rPr>
        <w:t>挂牌期网络竞价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按照公告中的时间去参与挂牌期报价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第一步：进入竞价页面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如下图所示，找到“我的项目”后选择“产权”交易模块，查找对应已报名且资格审核通过，领取到竞买资格确认书的项目，点击“我要报价”；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78550" cy="2656840"/>
            <wp:effectExtent l="0" t="0" r="8890" b="1016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仔细阅读《电子竞价风险告知及接手确认书》，并对上述内容明确，若有异议，则点击【不同意】，放弃电子竞价；若无意见，则点击勾选“我已看过，并同意《电子竞价风险告知确认书》”，点击【同意】按钮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1090" cy="354393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上述点击【同意】后，进入到网上电子竞价系统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0455" cy="3006090"/>
            <wp:effectExtent l="0" t="0" r="6985" b="11430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第二步：在线报价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如上图所示，进入到竞价页面后，可查看当前最高报价，竞价倒计时等内容，若需要报价，则点击对应的倍数（</w:t>
      </w:r>
      <w:r>
        <w:rPr>
          <w:rFonts w:hint="eastAsia"/>
          <w:color w:val="FF0000"/>
          <w:lang w:val="en-US" w:eastAsia="zh-CN"/>
        </w:rPr>
        <w:t>此处的倍数，为增价幅度的整倍数</w:t>
      </w:r>
      <w:r>
        <w:rPr>
          <w:rFonts w:hint="eastAsia"/>
          <w:lang w:val="en-US" w:eastAsia="zh-CN"/>
        </w:rPr>
        <w:t>）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例：</w:t>
      </w:r>
      <w:r>
        <w:rPr>
          <w:rFonts w:hint="eastAsia"/>
          <w:lang w:val="en-US" w:eastAsia="zh-CN"/>
        </w:rPr>
        <w:t>如下图所示，当前报价为636万元，增价幅度为5万，当选择“2倍”时，则表示报价为5万*2倍=10万，即报价为“636+10万”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7440" cy="3657600"/>
            <wp:effectExtent l="0" t="0" r="0" b="0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选择欲报价的增价倍数后，点击</w:t>
      </w:r>
      <w:r>
        <w:drawing>
          <wp:inline distT="0" distB="0" distL="114300" distR="114300">
            <wp:extent cx="937260" cy="325120"/>
            <wp:effectExtent l="0" t="0" r="7620" b="10160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按钮，完成报价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6187440" cy="3788410"/>
            <wp:effectExtent l="0" t="0" r="0" b="635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报价完成后，竞价系统即可显示当前最新的最高报价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182995" cy="3796030"/>
            <wp:effectExtent l="0" t="0" r="4445" b="13970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19667"/>
      <w:r>
        <w:rPr>
          <w:rFonts w:hint="eastAsia"/>
          <w:lang w:val="en-US" w:eastAsia="zh-CN"/>
        </w:rPr>
        <w:t>延时竞价</w:t>
      </w:r>
      <w:bookmarkEnd w:id="4"/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第一步：确认或放弃继续延时竞价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当挂牌期满时，系统会自动进入询问期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若需要继续竞价，则</w:t>
      </w:r>
      <w:r>
        <w:rPr>
          <w:rFonts w:hint="eastAsia"/>
          <w:b/>
          <w:bCs/>
          <w:lang w:val="en-US" w:eastAsia="zh-CN"/>
        </w:rPr>
        <w:t>必须点击【参加】</w:t>
      </w:r>
      <w:r>
        <w:rPr>
          <w:rFonts w:hint="eastAsia"/>
          <w:lang w:val="en-US" w:eastAsia="zh-CN"/>
        </w:rPr>
        <w:t>按钮后，确认参与延时竞价，再根据产权挂牌公告中公布的演示竞价时间和地点要求，参与延时竞价或现场竞价。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注：若产权挂牌公告中要求组织现场竞价，则愿意继续竞买的单位按照公告要求来现场参与竞价；若产权挂牌公告中要求组织线上延时竞价，则愿意继续竞买的单位，按照公告时间，在线登录系统参与延时竞价。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4265" cy="3550285"/>
            <wp:effectExtent l="0" t="0" r="3175" b="635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第二步：延时竞价报价</w:t>
      </w:r>
      <w:r>
        <w:rPr>
          <w:rFonts w:hint="eastAsia"/>
          <w:lang w:val="en-US" w:eastAsia="zh-CN"/>
        </w:rPr>
        <w:t>（</w:t>
      </w:r>
      <w:r>
        <w:rPr>
          <w:rFonts w:hint="eastAsia"/>
          <w:color w:val="FF0000"/>
          <w:lang w:val="en-US" w:eastAsia="zh-CN"/>
        </w:rPr>
        <w:t>此第二步操作仅针对线上网络延时竞价，现场竞价的要按照公告要求，来现场参与报价</w:t>
      </w:r>
      <w:r>
        <w:rPr>
          <w:rFonts w:hint="eastAsia"/>
          <w:lang w:val="en-US" w:eastAsia="zh-CN"/>
        </w:rPr>
        <w:t>）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到了公告中公布的延时竞价时间后，和上述挂牌期的网络竞价一样，登录系统，找到项目，进入网络竞价系统；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184265" cy="3799205"/>
            <wp:effectExtent l="0" t="0" r="3175" b="10795"/>
            <wp:docPr id="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根据实际情况进行报价，在当前一轮延时竞价期，若有单位报价，则系统自动进入下一轮延时竞价期，如此循环；直至在其中一个延时竞价期无单位继续报价，则演示竞价结束；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5" w:name="_Toc27902"/>
      <w:r>
        <w:rPr>
          <w:rFonts w:hint="eastAsia"/>
          <w:lang w:val="en-US" w:eastAsia="zh-CN"/>
        </w:rPr>
        <w:t>产权成交</w:t>
      </w:r>
      <w:bookmarkEnd w:id="5"/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第一步：系统自动确定成交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延时竞价期间，若在其中一个延时竞价期无单位报价，则延时竞价结束，以演示竞价期的最高报价为最终成交单位。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188710" cy="3905250"/>
            <wp:effectExtent l="0" t="0" r="13970" b="11430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ourceHanSansCN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t>产权交易电子竞价</w:t>
    </w:r>
    <w:r>
      <w:rPr>
        <w:rFonts w:hint="eastAsia" w:ascii="Cambria" w:hAnsi="Cambria"/>
      </w:rPr>
      <w:t xml:space="preserve">操作手册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4AFCB1"/>
    <w:multiLevelType w:val="singleLevel"/>
    <w:tmpl w:val="D04AFCB1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kN2NmOGU1NWZiNGE4MTMyYmE0ZGU4MmVhOWVmMjEifQ=="/>
  </w:docVars>
  <w:rsids>
    <w:rsidRoot w:val="006320A1"/>
    <w:rsid w:val="0001467A"/>
    <w:rsid w:val="00016B58"/>
    <w:rsid w:val="00056715"/>
    <w:rsid w:val="00065350"/>
    <w:rsid w:val="000764E9"/>
    <w:rsid w:val="000A23A7"/>
    <w:rsid w:val="000D2549"/>
    <w:rsid w:val="000D2C6D"/>
    <w:rsid w:val="000E2D7D"/>
    <w:rsid w:val="0013537C"/>
    <w:rsid w:val="00141796"/>
    <w:rsid w:val="001440C2"/>
    <w:rsid w:val="00151D02"/>
    <w:rsid w:val="0016455E"/>
    <w:rsid w:val="0017706A"/>
    <w:rsid w:val="0017711F"/>
    <w:rsid w:val="0019173E"/>
    <w:rsid w:val="001C5E88"/>
    <w:rsid w:val="001F66B7"/>
    <w:rsid w:val="00217FF2"/>
    <w:rsid w:val="00243EE1"/>
    <w:rsid w:val="0024711A"/>
    <w:rsid w:val="00271930"/>
    <w:rsid w:val="00280C59"/>
    <w:rsid w:val="00282935"/>
    <w:rsid w:val="00282C82"/>
    <w:rsid w:val="002A1AB8"/>
    <w:rsid w:val="002B3369"/>
    <w:rsid w:val="002D1483"/>
    <w:rsid w:val="002D2C09"/>
    <w:rsid w:val="002E2A41"/>
    <w:rsid w:val="00332C77"/>
    <w:rsid w:val="00336A71"/>
    <w:rsid w:val="003D4DF3"/>
    <w:rsid w:val="003E5EC8"/>
    <w:rsid w:val="003E62CC"/>
    <w:rsid w:val="00437DCB"/>
    <w:rsid w:val="00450DBA"/>
    <w:rsid w:val="004532EC"/>
    <w:rsid w:val="004A28BA"/>
    <w:rsid w:val="004F3C5D"/>
    <w:rsid w:val="004F55E1"/>
    <w:rsid w:val="00532635"/>
    <w:rsid w:val="005331CC"/>
    <w:rsid w:val="0053570D"/>
    <w:rsid w:val="005734C0"/>
    <w:rsid w:val="00597CA0"/>
    <w:rsid w:val="005A15D9"/>
    <w:rsid w:val="005A4EE5"/>
    <w:rsid w:val="005A798F"/>
    <w:rsid w:val="005D6982"/>
    <w:rsid w:val="005F4C5C"/>
    <w:rsid w:val="00602B4A"/>
    <w:rsid w:val="00617B46"/>
    <w:rsid w:val="006320A1"/>
    <w:rsid w:val="00647565"/>
    <w:rsid w:val="00647C7F"/>
    <w:rsid w:val="0068641B"/>
    <w:rsid w:val="006B77D5"/>
    <w:rsid w:val="006D0CFB"/>
    <w:rsid w:val="006D673A"/>
    <w:rsid w:val="006F6AE2"/>
    <w:rsid w:val="00713B8C"/>
    <w:rsid w:val="00734774"/>
    <w:rsid w:val="007421D4"/>
    <w:rsid w:val="00753DEA"/>
    <w:rsid w:val="00766CED"/>
    <w:rsid w:val="007722CB"/>
    <w:rsid w:val="007C2C74"/>
    <w:rsid w:val="007E290A"/>
    <w:rsid w:val="00805132"/>
    <w:rsid w:val="00807142"/>
    <w:rsid w:val="008140BF"/>
    <w:rsid w:val="0082248D"/>
    <w:rsid w:val="00822F9F"/>
    <w:rsid w:val="008540AE"/>
    <w:rsid w:val="00874718"/>
    <w:rsid w:val="008750E4"/>
    <w:rsid w:val="008A3255"/>
    <w:rsid w:val="008E6373"/>
    <w:rsid w:val="008F37DD"/>
    <w:rsid w:val="00920E9E"/>
    <w:rsid w:val="0092587E"/>
    <w:rsid w:val="00933F3F"/>
    <w:rsid w:val="00944E44"/>
    <w:rsid w:val="00947B89"/>
    <w:rsid w:val="00947F5E"/>
    <w:rsid w:val="00951A25"/>
    <w:rsid w:val="0098631F"/>
    <w:rsid w:val="00A05AF4"/>
    <w:rsid w:val="00A14BEE"/>
    <w:rsid w:val="00A53B32"/>
    <w:rsid w:val="00A669EF"/>
    <w:rsid w:val="00AA5796"/>
    <w:rsid w:val="00AB6953"/>
    <w:rsid w:val="00AC6412"/>
    <w:rsid w:val="00AE6946"/>
    <w:rsid w:val="00B01C45"/>
    <w:rsid w:val="00B64BB3"/>
    <w:rsid w:val="00B71DBB"/>
    <w:rsid w:val="00B76EC1"/>
    <w:rsid w:val="00B92A69"/>
    <w:rsid w:val="00BB3EA3"/>
    <w:rsid w:val="00BE05B9"/>
    <w:rsid w:val="00BE1539"/>
    <w:rsid w:val="00C069C6"/>
    <w:rsid w:val="00C122FC"/>
    <w:rsid w:val="00C17CAB"/>
    <w:rsid w:val="00C2487D"/>
    <w:rsid w:val="00C27395"/>
    <w:rsid w:val="00C62768"/>
    <w:rsid w:val="00C634A4"/>
    <w:rsid w:val="00C636AA"/>
    <w:rsid w:val="00CE3A9B"/>
    <w:rsid w:val="00CE480B"/>
    <w:rsid w:val="00CF2372"/>
    <w:rsid w:val="00D21EA2"/>
    <w:rsid w:val="00D235E5"/>
    <w:rsid w:val="00D25FF9"/>
    <w:rsid w:val="00D516DE"/>
    <w:rsid w:val="00D57133"/>
    <w:rsid w:val="00D62938"/>
    <w:rsid w:val="00D8591B"/>
    <w:rsid w:val="00DC032B"/>
    <w:rsid w:val="00DE4D03"/>
    <w:rsid w:val="00E00691"/>
    <w:rsid w:val="00E80DE5"/>
    <w:rsid w:val="00EB24FF"/>
    <w:rsid w:val="00ED2680"/>
    <w:rsid w:val="00F435BE"/>
    <w:rsid w:val="00F44B83"/>
    <w:rsid w:val="00F45FEF"/>
    <w:rsid w:val="00F477E8"/>
    <w:rsid w:val="00F5761E"/>
    <w:rsid w:val="00F639AC"/>
    <w:rsid w:val="00F95607"/>
    <w:rsid w:val="014A629B"/>
    <w:rsid w:val="03362040"/>
    <w:rsid w:val="07476577"/>
    <w:rsid w:val="08371D6D"/>
    <w:rsid w:val="09CA434A"/>
    <w:rsid w:val="0DAC4135"/>
    <w:rsid w:val="0E3A358C"/>
    <w:rsid w:val="0FA95721"/>
    <w:rsid w:val="102113A7"/>
    <w:rsid w:val="110B7333"/>
    <w:rsid w:val="146C4BA8"/>
    <w:rsid w:val="203B285A"/>
    <w:rsid w:val="207E27A5"/>
    <w:rsid w:val="23621E21"/>
    <w:rsid w:val="24D202C4"/>
    <w:rsid w:val="26BD5C77"/>
    <w:rsid w:val="291C1880"/>
    <w:rsid w:val="2C1B332A"/>
    <w:rsid w:val="2CED44E4"/>
    <w:rsid w:val="3877491C"/>
    <w:rsid w:val="3B732951"/>
    <w:rsid w:val="3C6D4ED5"/>
    <w:rsid w:val="3D3C724A"/>
    <w:rsid w:val="3D4B53C3"/>
    <w:rsid w:val="3D6D63E0"/>
    <w:rsid w:val="3FE23E7A"/>
    <w:rsid w:val="44E73A68"/>
    <w:rsid w:val="4750200C"/>
    <w:rsid w:val="487676B9"/>
    <w:rsid w:val="48C20300"/>
    <w:rsid w:val="49DC449C"/>
    <w:rsid w:val="4A197D0D"/>
    <w:rsid w:val="4C310EC5"/>
    <w:rsid w:val="4F344A6F"/>
    <w:rsid w:val="4F8E169B"/>
    <w:rsid w:val="4FDE1CCE"/>
    <w:rsid w:val="53DE0AEA"/>
    <w:rsid w:val="5936598B"/>
    <w:rsid w:val="5B91540B"/>
    <w:rsid w:val="5DCB071E"/>
    <w:rsid w:val="5FA560A1"/>
    <w:rsid w:val="64547E49"/>
    <w:rsid w:val="68991302"/>
    <w:rsid w:val="6A8E035E"/>
    <w:rsid w:val="6ADD205C"/>
    <w:rsid w:val="6B0449F7"/>
    <w:rsid w:val="700B6D53"/>
    <w:rsid w:val="711C2B67"/>
    <w:rsid w:val="7A2B3E1B"/>
    <w:rsid w:val="7CDF48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autoRedefine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autoRedefine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autoRedefine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4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autoRedefine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autoRedefine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autoRedefine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autoRedefine/>
    <w:qFormat/>
    <w:uiPriority w:val="0"/>
  </w:style>
  <w:style w:type="paragraph" w:styleId="16">
    <w:name w:val="Body Text 3"/>
    <w:basedOn w:val="1"/>
    <w:link w:val="108"/>
    <w:autoRedefine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autoRedefine/>
    <w:qFormat/>
    <w:uiPriority w:val="0"/>
    <w:pPr>
      <w:spacing w:after="120"/>
    </w:pPr>
  </w:style>
  <w:style w:type="paragraph" w:styleId="18">
    <w:name w:val="Body Text Indent"/>
    <w:basedOn w:val="1"/>
    <w:link w:val="92"/>
    <w:autoRedefine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autoRedefine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autoRedefine/>
    <w:qFormat/>
    <w:uiPriority w:val="0"/>
    <w:rPr>
      <w:rFonts w:ascii="宋体" w:hAnsi="Courier New"/>
    </w:rPr>
  </w:style>
  <w:style w:type="paragraph" w:styleId="22">
    <w:name w:val="toc 8"/>
    <w:basedOn w:val="1"/>
    <w:next w:val="1"/>
    <w:autoRedefine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autoRedefine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autoRedefine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autoRedefine/>
    <w:qFormat/>
    <w:uiPriority w:val="0"/>
    <w:rPr>
      <w:sz w:val="18"/>
      <w:szCs w:val="18"/>
    </w:rPr>
  </w:style>
  <w:style w:type="paragraph" w:styleId="26">
    <w:name w:val="footer"/>
    <w:basedOn w:val="1"/>
    <w:link w:val="96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autoRedefine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autoRedefine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autoRedefine/>
    <w:qFormat/>
    <w:uiPriority w:val="0"/>
  </w:style>
  <w:style w:type="paragraph" w:styleId="32">
    <w:name w:val="toc 6"/>
    <w:basedOn w:val="1"/>
    <w:next w:val="1"/>
    <w:autoRedefine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autoRedefine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autoRedefine/>
    <w:qFormat/>
    <w:uiPriority w:val="0"/>
    <w:pPr>
      <w:spacing w:after="120" w:line="480" w:lineRule="auto"/>
    </w:pPr>
  </w:style>
  <w:style w:type="paragraph" w:styleId="37">
    <w:name w:val="Normal (Web)"/>
    <w:basedOn w:val="1"/>
    <w:autoRedefine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autoRedefine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autoRedefine/>
    <w:qFormat/>
    <w:uiPriority w:val="0"/>
    <w:pPr>
      <w:ind w:firstLine="100" w:firstLineChars="100"/>
    </w:p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FollowedHyperlink"/>
    <w:autoRedefine/>
    <w:qFormat/>
    <w:uiPriority w:val="0"/>
    <w:rPr>
      <w:color w:val="800080"/>
      <w:u w:val="single"/>
    </w:rPr>
  </w:style>
  <w:style w:type="character" w:styleId="45">
    <w:name w:val="Hyperlink"/>
    <w:autoRedefine/>
    <w:qFormat/>
    <w:uiPriority w:val="99"/>
    <w:rPr>
      <w:color w:val="0000FF"/>
      <w:u w:val="single"/>
    </w:rPr>
  </w:style>
  <w:style w:type="character" w:styleId="46">
    <w:name w:val="annotation reference"/>
    <w:autoRedefine/>
    <w:qFormat/>
    <w:uiPriority w:val="0"/>
    <w:rPr>
      <w:sz w:val="21"/>
      <w:szCs w:val="21"/>
    </w:rPr>
  </w:style>
  <w:style w:type="paragraph" w:customStyle="1" w:styleId="47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autoRedefine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autoRedefine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autoRedefine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autoRedefine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autoRedefine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autoRedefine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autoRedefine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autoRedefine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autoRedefine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autoRedefine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autoRedefine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autoRedefine/>
    <w:qFormat/>
    <w:uiPriority w:val="0"/>
    <w:pPr>
      <w:jc w:val="center"/>
    </w:pPr>
  </w:style>
  <w:style w:type="paragraph" w:customStyle="1" w:styleId="75">
    <w:name w:val="样式10"/>
    <w:basedOn w:val="74"/>
    <w:link w:val="121"/>
    <w:autoRedefine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autoRedefine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autoRedefine/>
    <w:qFormat/>
    <w:uiPriority w:val="0"/>
    <w:pPr>
      <w:ind w:firstLine="0" w:firstLineChars="0"/>
    </w:pPr>
  </w:style>
  <w:style w:type="paragraph" w:customStyle="1" w:styleId="81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autoRedefine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autoRedefine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autoRedefine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autoRedefine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autoRedefine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autoRedefine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autoRedefine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autoRedefine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autoRedefine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autoRedefine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autoRedefine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autoRedefine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autoRedefine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autoRedefine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autoRedefine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autoRedefine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autoRedefine/>
    <w:qFormat/>
    <w:uiPriority w:val="0"/>
    <w:rPr>
      <w:kern w:val="2"/>
      <w:sz w:val="24"/>
      <w:szCs w:val="24"/>
    </w:rPr>
  </w:style>
  <w:style w:type="paragraph" w:styleId="128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emf"/><Relationship Id="rId28" Type="http://schemas.openxmlformats.org/officeDocument/2006/relationships/oleObject" Target="embeddings/oleObject1.bin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5AD470-5E77-4D13-AE43-4EAEBCF6F4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21</Pages>
  <Words>2587</Words>
  <Characters>2634</Characters>
  <Lines>20</Lines>
  <Paragraphs>5</Paragraphs>
  <TotalTime>2</TotalTime>
  <ScaleCrop>false</ScaleCrop>
  <LinksUpToDate>false</LinksUpToDate>
  <CharactersWithSpaces>2652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2020-07-10T03:35:00Z</dcterms:created>
  <dc:creator>yuanxun</dc:creator>
  <cp:lastModifiedBy>Christopher</cp:lastModifiedBy>
  <dcterms:modified xsi:type="dcterms:W3CDTF">2024-02-26T20:52:56Z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9871EDE5DF54436CB10AE8221A2B292C_13</vt:lpwstr>
  </property>
</Properties>
</file>