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inline distT="0" distB="0" distL="114300" distR="114300">
            <wp:extent cx="4791075" cy="1028700"/>
            <wp:effectExtent l="0" t="0" r="9525" b="762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95885</wp:posOffset>
            </wp:positionV>
            <wp:extent cx="5276850" cy="1590675"/>
            <wp:effectExtent l="0" t="0" r="11430" b="0"/>
            <wp:wrapTopAndBottom/>
            <wp:docPr id="4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ascii="仿宋" w:hAnsi="仿宋" w:eastAsia="仿宋" w:cs="仿宋"/>
          <w:b/>
          <w:bCs/>
          <w:i w:val="0"/>
          <w:iCs w:val="0"/>
          <w:caps w:val="0"/>
          <w:color w:val="000000"/>
          <w:spacing w:val="0"/>
          <w:sz w:val="44"/>
          <w:szCs w:val="44"/>
        </w:rPr>
        <w:t>吐鲁番市公共资源交易平台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sz w:val="44"/>
          <w:szCs w:val="44"/>
          <w:lang w:val="en-US" w:eastAsia="zh-CN"/>
        </w:rPr>
        <w:t>土地交易</w:t>
      </w: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sz w:val="44"/>
          <w:szCs w:val="44"/>
        </w:rPr>
        <w:t>竞买操作指南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36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36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36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36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36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88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200"/>
          <w:sz w:val="24"/>
          <w:szCs w:val="24"/>
        </w:rPr>
        <w:t>目录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rPr>
          <w:rFonts w:hint="default" w:ascii="Times New Roman" w:hAnsi="Times New Roman" w:cs="Times New Roman"/>
          <w:i w:val="0"/>
          <w:iCs w:val="0"/>
          <w:caps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/>
          <w:spacing w:val="0"/>
          <w:sz w:val="21"/>
          <w:szCs w:val="21"/>
        </w:rPr>
        <w:fldChar w:fldCharType="begin"/>
      </w:r>
      <w:r>
        <w:rPr>
          <w:rFonts w:hint="default" w:ascii="Times New Roman" w:hAnsi="Times New Roman" w:cs="Times New Roman"/>
          <w:i w:val="0"/>
          <w:iCs w:val="0"/>
          <w:caps/>
          <w:spacing w:val="0"/>
          <w:sz w:val="21"/>
          <w:szCs w:val="21"/>
        </w:rPr>
        <w:instrText xml:space="preserve"> HYPERLINK "http://ggzy.tlfzw.cn/EpointWebBuilder/frame/ewebeditor/ewebeditor.htm?id=editor_value&amp;style=light" \l "_Toc3440" </w:instrText>
      </w:r>
      <w:r>
        <w:rPr>
          <w:rFonts w:hint="default" w:ascii="Times New Roman" w:hAnsi="Times New Roman" w:cs="Times New Roman"/>
          <w:i w:val="0"/>
          <w:iCs w:val="0"/>
          <w:caps/>
          <w:spacing w:val="0"/>
          <w:sz w:val="21"/>
          <w:szCs w:val="21"/>
        </w:rPr>
        <w:fldChar w:fldCharType="separate"/>
      </w:r>
      <w:r>
        <w:rPr>
          <w:rStyle w:val="7"/>
          <w:rFonts w:hint="eastAsia" w:ascii="仿宋" w:hAnsi="仿宋" w:eastAsia="仿宋" w:cs="仿宋"/>
          <w:i w:val="0"/>
          <w:iCs w:val="0"/>
          <w:caps/>
          <w:spacing w:val="0"/>
          <w:sz w:val="21"/>
          <w:szCs w:val="21"/>
        </w:rPr>
        <w:t>一、 </w:t>
      </w:r>
      <w:r>
        <w:rPr>
          <w:rStyle w:val="7"/>
          <w:rFonts w:hint="eastAsia" w:ascii="仿宋" w:hAnsi="仿宋" w:eastAsia="仿宋" w:cs="仿宋"/>
          <w:i w:val="0"/>
          <w:iCs w:val="0"/>
          <w:caps/>
          <w:spacing w:val="0"/>
          <w:sz w:val="21"/>
          <w:szCs w:val="21"/>
          <w:lang w:val="en-US" w:eastAsia="zh-CN"/>
        </w:rPr>
        <w:t>土地交易</w:t>
      </w:r>
      <w:r>
        <w:rPr>
          <w:rStyle w:val="7"/>
          <w:rFonts w:hint="eastAsia" w:ascii="仿宋" w:hAnsi="仿宋" w:eastAsia="仿宋" w:cs="仿宋"/>
          <w:i w:val="0"/>
          <w:iCs w:val="0"/>
          <w:caps/>
          <w:spacing w:val="0"/>
          <w:sz w:val="21"/>
          <w:szCs w:val="21"/>
        </w:rPr>
        <w:t>竞买操作指南</w:t>
      </w:r>
      <w:r>
        <w:rPr>
          <w:rFonts w:hint="default" w:ascii="Times New Roman" w:hAnsi="Times New Roman" w:cs="Times New Roman"/>
          <w:i w:val="0"/>
          <w:iCs w:val="0"/>
          <w:caps/>
          <w:spacing w:val="0"/>
          <w:sz w:val="21"/>
          <w:szCs w:val="21"/>
        </w:rPr>
        <w:fldChar w:fldCharType="end"/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200"/>
        <w:rPr>
          <w:rFonts w:hint="default" w:ascii="Times New Roman" w:hAnsi="Times New Roman" w:cs="Times New Roman"/>
          <w:i w:val="0"/>
          <w:iCs w:val="0"/>
          <w:caps w:val="0"/>
          <w:smallCaps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smallCaps/>
          <w:spacing w:val="0"/>
          <w:sz w:val="21"/>
          <w:szCs w:val="21"/>
        </w:rPr>
        <w:fldChar w:fldCharType="begin"/>
      </w:r>
      <w:r>
        <w:rPr>
          <w:rFonts w:hint="default" w:ascii="Times New Roman" w:hAnsi="Times New Roman" w:cs="Times New Roman"/>
          <w:i w:val="0"/>
          <w:iCs w:val="0"/>
          <w:caps w:val="0"/>
          <w:smallCaps/>
          <w:spacing w:val="0"/>
          <w:sz w:val="21"/>
          <w:szCs w:val="21"/>
        </w:rPr>
        <w:instrText xml:space="preserve"> HYPERLINK "http://ggzy.tlfzw.cn/EpointWebBuilder/frame/ewebeditor/ewebeditor.htm?id=editor_value&amp;style=light" \l "_Toc24953" </w:instrText>
      </w:r>
      <w:r>
        <w:rPr>
          <w:rFonts w:hint="default" w:ascii="Times New Roman" w:hAnsi="Times New Roman" w:cs="Times New Roman"/>
          <w:i w:val="0"/>
          <w:iCs w:val="0"/>
          <w:caps w:val="0"/>
          <w:smallCaps/>
          <w:spacing w:val="0"/>
          <w:sz w:val="21"/>
          <w:szCs w:val="21"/>
        </w:rPr>
        <w:fldChar w:fldCharType="separate"/>
      </w:r>
      <w:r>
        <w:rPr>
          <w:rStyle w:val="7"/>
          <w:rFonts w:hint="default" w:ascii="Times New Roman" w:hAnsi="Times New Roman" w:cs="Times New Roman"/>
          <w:i w:val="0"/>
          <w:iCs w:val="0"/>
          <w:caps w:val="0"/>
          <w:smallCaps/>
          <w:spacing w:val="0"/>
          <w:sz w:val="21"/>
          <w:szCs w:val="21"/>
        </w:rPr>
        <w:t>1.1</w:t>
      </w:r>
      <w:r>
        <w:rPr>
          <w:rStyle w:val="7"/>
          <w:rFonts w:hint="eastAsia" w:ascii="仿宋" w:hAnsi="仿宋" w:eastAsia="仿宋" w:cs="仿宋"/>
          <w:i w:val="0"/>
          <w:iCs w:val="0"/>
          <w:caps w:val="0"/>
          <w:smallCaps/>
          <w:spacing w:val="0"/>
          <w:sz w:val="21"/>
          <w:szCs w:val="21"/>
        </w:rPr>
        <w:t>、 项目报名</w:t>
      </w:r>
      <w:r>
        <w:rPr>
          <w:rFonts w:hint="default" w:ascii="Times New Roman" w:hAnsi="Times New Roman" w:cs="Times New Roman"/>
          <w:i w:val="0"/>
          <w:iCs w:val="0"/>
          <w:caps w:val="0"/>
          <w:smallCaps/>
          <w:spacing w:val="0"/>
          <w:sz w:val="21"/>
          <w:szCs w:val="21"/>
        </w:rPr>
        <w:fldChar w:fldCharType="end"/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200"/>
        <w:rPr>
          <w:rFonts w:hint="default" w:ascii="Times New Roman" w:hAnsi="Times New Roman" w:cs="Times New Roman"/>
          <w:i w:val="0"/>
          <w:iCs w:val="0"/>
          <w:caps w:val="0"/>
          <w:smallCaps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smallCaps/>
          <w:spacing w:val="0"/>
          <w:sz w:val="21"/>
          <w:szCs w:val="21"/>
        </w:rPr>
        <w:fldChar w:fldCharType="begin"/>
      </w:r>
      <w:r>
        <w:rPr>
          <w:rFonts w:hint="default" w:ascii="Times New Roman" w:hAnsi="Times New Roman" w:cs="Times New Roman"/>
          <w:i w:val="0"/>
          <w:iCs w:val="0"/>
          <w:caps w:val="0"/>
          <w:smallCaps/>
          <w:spacing w:val="0"/>
          <w:sz w:val="21"/>
          <w:szCs w:val="21"/>
        </w:rPr>
        <w:instrText xml:space="preserve"> HYPERLINK "http://ggzy.tlfzw.cn/EpointWebBuilder/frame/ewebeditor/ewebeditor.htm?id=editor_value&amp;style=light" \l "_Toc11936" </w:instrText>
      </w:r>
      <w:r>
        <w:rPr>
          <w:rFonts w:hint="default" w:ascii="Times New Roman" w:hAnsi="Times New Roman" w:cs="Times New Roman"/>
          <w:i w:val="0"/>
          <w:iCs w:val="0"/>
          <w:caps w:val="0"/>
          <w:smallCaps/>
          <w:spacing w:val="0"/>
          <w:sz w:val="21"/>
          <w:szCs w:val="21"/>
        </w:rPr>
        <w:fldChar w:fldCharType="separate"/>
      </w:r>
      <w:r>
        <w:rPr>
          <w:rStyle w:val="7"/>
          <w:rFonts w:hint="default" w:ascii="Times New Roman" w:hAnsi="Times New Roman" w:cs="Times New Roman"/>
          <w:i w:val="0"/>
          <w:iCs w:val="0"/>
          <w:caps w:val="0"/>
          <w:smallCaps/>
          <w:spacing w:val="0"/>
          <w:sz w:val="21"/>
          <w:szCs w:val="21"/>
        </w:rPr>
        <w:t>1.2</w:t>
      </w:r>
      <w:r>
        <w:rPr>
          <w:rStyle w:val="7"/>
          <w:rFonts w:hint="eastAsia" w:ascii="宋体" w:hAnsi="宋体" w:eastAsia="宋体" w:cs="宋体"/>
          <w:i w:val="0"/>
          <w:iCs w:val="0"/>
          <w:caps w:val="0"/>
          <w:smallCaps/>
          <w:spacing w:val="0"/>
          <w:sz w:val="21"/>
          <w:szCs w:val="21"/>
        </w:rPr>
        <w:t>、 竞买申请书</w:t>
      </w:r>
      <w:r>
        <w:rPr>
          <w:rFonts w:hint="default" w:ascii="Times New Roman" w:hAnsi="Times New Roman" w:cs="Times New Roman"/>
          <w:i w:val="0"/>
          <w:iCs w:val="0"/>
          <w:caps w:val="0"/>
          <w:smallCaps/>
          <w:spacing w:val="0"/>
          <w:sz w:val="21"/>
          <w:szCs w:val="21"/>
        </w:rPr>
        <w:fldChar w:fldCharType="end"/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t>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</w:rPr>
      </w:pP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sz w:val="24"/>
          <w:szCs w:val="24"/>
        </w:rPr>
        <w:t>一、</w:t>
      </w: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sz w:val="24"/>
          <w:szCs w:val="24"/>
          <w:lang w:val="en-US" w:eastAsia="zh-CN"/>
        </w:rPr>
        <w:t>土地</w:t>
      </w: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sz w:val="24"/>
          <w:szCs w:val="24"/>
        </w:rPr>
        <w:t>竞买操作指南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42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sz w:val="24"/>
          <w:szCs w:val="24"/>
        </w:rPr>
        <w:t>操作前提：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4"/>
          <w:szCs w:val="24"/>
        </w:rPr>
        <w:t>（1）已经按照《</w:t>
      </w:r>
      <w:r>
        <w:rPr>
          <w:rFonts w:hint="default" w:ascii="Times New Roman" w:hAnsi="Times New Roman" w:cs="Times New Roman"/>
          <w:i w:val="0"/>
          <w:iCs w:val="0"/>
          <w:caps w:val="0"/>
          <w:spacing w:val="0"/>
          <w:sz w:val="21"/>
          <w:szCs w:val="21"/>
        </w:rPr>
        <w:fldChar w:fldCharType="begin"/>
      </w:r>
      <w:r>
        <w:rPr>
          <w:rFonts w:hint="default" w:ascii="Times New Roman" w:hAnsi="Times New Roman" w:cs="Times New Roman"/>
          <w:i w:val="0"/>
          <w:iCs w:val="0"/>
          <w:caps w:val="0"/>
          <w:spacing w:val="0"/>
          <w:sz w:val="21"/>
          <w:szCs w:val="21"/>
        </w:rPr>
        <w:instrText xml:space="preserve"> HYPERLINK "http://ggzy.tlfzw.cn/tulufanggzy/bzzx/012001/20220622/82af292e-a316-4c80-b0ca-975398f08191.html" \o "企业入库操作指南" </w:instrText>
      </w:r>
      <w:r>
        <w:rPr>
          <w:rFonts w:hint="default" w:ascii="Times New Roman" w:hAnsi="Times New Roman" w:cs="Times New Roman"/>
          <w:i w:val="0"/>
          <w:iCs w:val="0"/>
          <w:caps w:val="0"/>
          <w:spacing w:val="0"/>
          <w:sz w:val="21"/>
          <w:szCs w:val="21"/>
        </w:rPr>
        <w:fldChar w:fldCharType="separate"/>
      </w:r>
      <w:r>
        <w:rPr>
          <w:rStyle w:val="7"/>
          <w:rFonts w:ascii="SourceHanSansCN-Regular" w:hAnsi="SourceHanSansCN-Regular" w:eastAsia="SourceHanSansCN-Regular" w:cs="SourceHanSansCN-Regular"/>
          <w:i w:val="0"/>
          <w:iCs w:val="0"/>
          <w:caps w:val="0"/>
          <w:color w:val="666666"/>
          <w:spacing w:val="0"/>
          <w:sz w:val="19"/>
          <w:szCs w:val="19"/>
          <w:u w:val="single"/>
          <w:shd w:val="clear" w:fill="EBF3FF"/>
        </w:rPr>
        <w:t>企业入库操作指南</w:t>
      </w:r>
      <w:r>
        <w:rPr>
          <w:rFonts w:hint="default" w:ascii="Times New Roman" w:hAnsi="Times New Roman" w:cs="Times New Roman"/>
          <w:i w:val="0"/>
          <w:iCs w:val="0"/>
          <w:caps w:val="0"/>
          <w:spacing w:val="0"/>
          <w:sz w:val="21"/>
          <w:szCs w:val="21"/>
        </w:rPr>
        <w:fldChar w:fldCharType="end"/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4"/>
          <w:szCs w:val="24"/>
        </w:rPr>
        <w:t>》在吐鲁番市公共资源交易网免费注册、完善单位信息并审核通过；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42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4"/>
          <w:szCs w:val="24"/>
        </w:rPr>
        <w:t>（2）已经按照公告要求及《</w:t>
      </w:r>
      <w:r>
        <w:rPr>
          <w:rFonts w:hint="default" w:ascii="Times New Roman" w:hAnsi="Times New Roman" w:cs="Times New Roman"/>
          <w:i w:val="0"/>
          <w:iCs w:val="0"/>
          <w:caps w:val="0"/>
          <w:spacing w:val="0"/>
          <w:sz w:val="21"/>
          <w:szCs w:val="21"/>
        </w:rPr>
        <w:fldChar w:fldCharType="begin"/>
      </w:r>
      <w:r>
        <w:rPr>
          <w:rFonts w:hint="default" w:ascii="Times New Roman" w:hAnsi="Times New Roman" w:cs="Times New Roman"/>
          <w:i w:val="0"/>
          <w:iCs w:val="0"/>
          <w:caps w:val="0"/>
          <w:spacing w:val="0"/>
          <w:sz w:val="21"/>
          <w:szCs w:val="21"/>
        </w:rPr>
        <w:instrText xml:space="preserve"> HYPERLINK "http://ggzy.tlfzw.cn/tulufanggzy/bzzx/012001/20220622/3f326d8f-cea3-4e49-bfff-d59c6a99cc24.html" \o "新疆CA数字证书线上办理指南" </w:instrText>
      </w:r>
      <w:r>
        <w:rPr>
          <w:rFonts w:hint="default" w:ascii="Times New Roman" w:hAnsi="Times New Roman" w:cs="Times New Roman"/>
          <w:i w:val="0"/>
          <w:iCs w:val="0"/>
          <w:caps w:val="0"/>
          <w:spacing w:val="0"/>
          <w:sz w:val="21"/>
          <w:szCs w:val="21"/>
        </w:rPr>
        <w:fldChar w:fldCharType="separate"/>
      </w:r>
      <w:r>
        <w:rPr>
          <w:rStyle w:val="7"/>
          <w:rFonts w:hint="default" w:ascii="SourceHanSansCN-Regular" w:hAnsi="SourceHanSansCN-Regular" w:eastAsia="SourceHanSansCN-Regular" w:cs="SourceHanSansCN-Regular"/>
          <w:i w:val="0"/>
          <w:iCs w:val="0"/>
          <w:caps w:val="0"/>
          <w:color w:val="666666"/>
          <w:spacing w:val="0"/>
          <w:sz w:val="19"/>
          <w:szCs w:val="19"/>
          <w:u w:val="single"/>
          <w:shd w:val="clear" w:fill="EBF3FF"/>
        </w:rPr>
        <w:t>新疆CA数字证书线上办理指南</w:t>
      </w:r>
      <w:r>
        <w:rPr>
          <w:rFonts w:hint="default" w:ascii="Times New Roman" w:hAnsi="Times New Roman" w:cs="Times New Roman"/>
          <w:i w:val="0"/>
          <w:iCs w:val="0"/>
          <w:caps w:val="0"/>
          <w:spacing w:val="0"/>
          <w:sz w:val="21"/>
          <w:szCs w:val="21"/>
        </w:rPr>
        <w:fldChar w:fldCharType="end"/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4"/>
          <w:szCs w:val="24"/>
        </w:rPr>
        <w:t>》办理CA证书并安装驱动；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42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4"/>
          <w:szCs w:val="24"/>
        </w:rPr>
        <w:t>（3）使用已注册的单位账号或者CA证书登录“吐鲁番市公共资源交易平台”</w:t>
      </w:r>
    </w:p>
    <w:p>
      <w:pPr>
        <w:pStyle w:val="3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30"/>
          <w:szCs w:val="30"/>
        </w:rPr>
        <w:t>一.1、</w:t>
      </w: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sz w:val="24"/>
          <w:szCs w:val="24"/>
        </w:rPr>
        <w:t>项目报名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42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sz w:val="24"/>
          <w:szCs w:val="24"/>
        </w:rPr>
        <w:t>第一步：公告及相关项目资料查看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42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4"/>
          <w:szCs w:val="24"/>
        </w:rPr>
        <w:t>如下图所示，在吐鲁番市公共资源交易网站的“交易大厅”模块，选择“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4"/>
          <w:szCs w:val="24"/>
          <w:lang w:val="en-US" w:eastAsia="zh-CN"/>
        </w:rPr>
        <w:t>土地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4"/>
          <w:szCs w:val="24"/>
        </w:rPr>
        <w:t>易”栏目，根据实际需要，输入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4"/>
          <w:szCs w:val="24"/>
          <w:lang w:val="en-US" w:eastAsia="zh-CN"/>
        </w:rPr>
        <w:t>土地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4"/>
          <w:szCs w:val="24"/>
        </w:rPr>
        <w:t>项目名称等信息，点击“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inline distT="0" distB="0" distL="114300" distR="114300">
            <wp:extent cx="523875" cy="295275"/>
            <wp:effectExtent l="0" t="0" r="9525" b="9525"/>
            <wp:docPr id="6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3875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4"/>
          <w:szCs w:val="24"/>
        </w:rPr>
        <w:t>”，查找对应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4"/>
          <w:szCs w:val="24"/>
          <w:lang w:eastAsia="zh-CN"/>
        </w:rPr>
        <w:t>土地使用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4"/>
          <w:szCs w:val="24"/>
        </w:rPr>
        <w:t>交易项目。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drawing>
          <wp:inline distT="0" distB="0" distL="114300" distR="114300">
            <wp:extent cx="5261610" cy="2825750"/>
            <wp:effectExtent l="0" t="0" r="11430" b="889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</w:rPr>
        <w:t>第二步：登录吐鲁番是公共资源交易系统，查找欲报名项目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根据单位注册的账号，或已激活的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1"/>
          <w:szCs w:val="21"/>
        </w:rPr>
        <w:t>CA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数字证书，登录吐鲁番是公共资源交易平台，可点击查看“新点标证通”的内容，若无需查看，直接关闭改弹窗即可；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inline distT="0" distB="0" distL="114300" distR="114300">
            <wp:extent cx="6181725" cy="3276600"/>
            <wp:effectExtent l="0" t="0" r="5715" b="0"/>
            <wp:docPr id="5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6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点击“招标公告”模块后，选择“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lang w:val="en-US" w:eastAsia="zh-CN"/>
        </w:rPr>
        <w:t>土地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”业务，即可查看正在报名中的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土地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交易项目，也可根据实际需要选择查看其他状态项目。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drawing>
          <wp:inline distT="0" distB="0" distL="114300" distR="114300">
            <wp:extent cx="5261610" cy="2825750"/>
            <wp:effectExtent l="0" t="0" r="11430" b="889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可根据实际需要，输入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土地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交易项目名称，搜索所需项目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inline distT="0" distB="0" distL="114300" distR="114300">
            <wp:extent cx="6181725" cy="2343150"/>
            <wp:effectExtent l="0" t="0" r="5715" b="3810"/>
            <wp:docPr id="11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 descr="IMG_2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</w:rPr>
        <w:t>第三步：项目报名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</w:rPr>
        <w:t>选择欲报名项目，点击“我要报名”进入“竞买须知”查看页面，阅读竞买须知，若无异议，点击“同意”按钮。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drawing>
          <wp:inline distT="0" distB="0" distL="114300" distR="114300">
            <wp:extent cx="5270500" cy="2541905"/>
            <wp:effectExtent l="0" t="0" r="2540" b="317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4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30"/>
          <w:szCs w:val="30"/>
        </w:rPr>
        <w:t>一.2、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0"/>
          <w:szCs w:val="30"/>
        </w:rPr>
        <w:t>竞买申请书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</w:rPr>
        <w:t>第一步：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选择竞买方式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点击“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单独申请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”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或“联合申请”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按钮，进入“页面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选择单独申请则会清除联合体格式，选择联合申请，则需单独填报联合申请声明。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FF0000"/>
          <w:spacing w:val="0"/>
          <w:sz w:val="21"/>
          <w:szCs w:val="21"/>
          <w:lang w:val="en-US" w:eastAsia="zh-CN"/>
        </w:rPr>
        <w:t>“单独申请”为一个自然人或一个法人单独申请，“联合申请”则为多自然人或多个法人联合申请。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drawing>
          <wp:inline distT="0" distB="0" distL="114300" distR="114300">
            <wp:extent cx="5260975" cy="2626360"/>
            <wp:effectExtent l="0" t="0" r="12065" b="1016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</w:rPr>
        <w:t>第二步：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选择是否成立新公司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both"/>
        <w:rPr>
          <w:rFonts w:hint="default" w:ascii="Times New Roman" w:hAnsi="Times New Roman" w:cs="Times New Roman" w:eastAsiaTheme="minorEastAsia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  <w:r>
        <w:rPr>
          <w:rFonts w:hint="eastAsia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选择“成立公司”或“不成立公司”按钮进入页面，若选择成立新公司，则需额外填写成立新公司声明，若选择不成立公司则进入申请人信息填写。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inline distT="0" distB="0" distL="114300" distR="114300">
            <wp:extent cx="6181725" cy="3305175"/>
            <wp:effectExtent l="0" t="0" r="5715" b="1905"/>
            <wp:docPr id="10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 descr="IMG_26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</w:rPr>
        <w:t>第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三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</w:rPr>
        <w:t>步：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申请人信息填写/成立新公司申明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申请人信息填写，填写后无问题点击下一步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</w:pPr>
      <w:r>
        <w:drawing>
          <wp:inline distT="0" distB="0" distL="114300" distR="114300">
            <wp:extent cx="5261610" cy="2825750"/>
            <wp:effectExtent l="0" t="0" r="11430" b="889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成立新公司申明,需完成如图所示信息，无误后点击下一步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</w:pPr>
      <w:r>
        <w:drawing>
          <wp:inline distT="0" distB="0" distL="114300" distR="114300">
            <wp:extent cx="5268595" cy="2573020"/>
            <wp:effectExtent l="0" t="0" r="4445" b="254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</w:rPr>
        <w:t>第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四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</w:rPr>
        <w:t>步：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填写竞买申请书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点击“竞买申请书”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自动生成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按钮，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生成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“竞买申请书”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266690" cy="3127375"/>
            <wp:effectExtent l="0" t="0" r="6350" b="1206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2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“点击生成”进入“竞买申请书”详情页面，插入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1"/>
          <w:szCs w:val="21"/>
        </w:rPr>
        <w:t>CA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证书，可选择“插入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1"/>
          <w:szCs w:val="21"/>
        </w:rPr>
        <w:t>CA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锁”使用实体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1"/>
          <w:szCs w:val="21"/>
        </w:rPr>
        <w:t>CA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证书，也可以选择“手机扫描”使用移动数字证书（标证通）进行扫描签章；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inline distT="0" distB="0" distL="114300" distR="114300">
            <wp:extent cx="6181725" cy="3305175"/>
            <wp:effectExtent l="0" t="0" r="5715" b="1905"/>
            <wp:docPr id="61" name="图片 55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5" descr="IMG_26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进入对应竞买申请书详情页面后，点击“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inline distT="0" distB="0" distL="114300" distR="114300">
            <wp:extent cx="381000" cy="390525"/>
            <wp:effectExtent l="0" t="0" r="0" b="5715"/>
            <wp:docPr id="54" name="图片 56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6" descr="IMG_26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”按钮，在弹出的“请输入密码”页面输入框内，输入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1"/>
          <w:szCs w:val="21"/>
        </w:rPr>
        <w:t>CA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证书的密码，点击“确定”按钮。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inline distT="0" distB="0" distL="114300" distR="114300">
            <wp:extent cx="6181725" cy="3238500"/>
            <wp:effectExtent l="0" t="0" r="5715" b="7620"/>
            <wp:docPr id="59" name="图片 57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7" descr="IMG_26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选择签章名称，根据实际需要选择加盖的章类型，点击“确认”按钮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inline distT="0" distB="0" distL="114300" distR="114300">
            <wp:extent cx="6181725" cy="3124200"/>
            <wp:effectExtent l="0" t="0" r="5715" b="0"/>
            <wp:docPr id="57" name="图片 58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8" descr="IMG_26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鼠标拖动电子章图片，放置到需要签章的位置，点击鼠标左建，完成电子签章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inline distT="0" distB="0" distL="114300" distR="114300">
            <wp:extent cx="6181725" cy="2914650"/>
            <wp:effectExtent l="0" t="0" r="5715" b="11430"/>
            <wp:docPr id="2" name="图片 59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9" descr="IMG_27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注：若使用“手机扫码签章”则点击“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inline distT="0" distB="0" distL="114300" distR="114300">
            <wp:extent cx="381000" cy="390525"/>
            <wp:effectExtent l="0" t="0" r="0" b="5715"/>
            <wp:docPr id="60" name="图片 60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27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”按钮后，需使用已注册好的移动数字证书（标证通）进行扫码签章，签章操作步骤和实体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1"/>
          <w:szCs w:val="21"/>
        </w:rPr>
        <w:t>CA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证书签章一致；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both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进入对应竞买申请书详情页面后，点击“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inline distT="0" distB="0" distL="114300" distR="114300">
            <wp:extent cx="381000" cy="390525"/>
            <wp:effectExtent l="0" t="0" r="0" b="5715"/>
            <wp:docPr id="12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6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”按钮，在弹出的“请输入密码”页面输入框内，输入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1"/>
          <w:szCs w:val="21"/>
        </w:rPr>
        <w:t>CA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证书的密码，点击“确定”按钮。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inline distT="0" distB="0" distL="114300" distR="114300">
            <wp:extent cx="6181725" cy="3238500"/>
            <wp:effectExtent l="0" t="0" r="5715" b="7620"/>
            <wp:docPr id="20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3" descr="IMG_26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选择签章名称，根据实际需要选择加盖的章类型，点击“确认”按钮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inline distT="0" distB="0" distL="114300" distR="114300">
            <wp:extent cx="6181725" cy="3124200"/>
            <wp:effectExtent l="0" t="0" r="5715" b="0"/>
            <wp:docPr id="21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4" descr="IMG_26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鼠标拖动电子章图片，放置到需要签章的位置，点击鼠标左建，完成电子签章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inline distT="0" distB="0" distL="114300" distR="114300">
            <wp:extent cx="6181725" cy="2914650"/>
            <wp:effectExtent l="0" t="0" r="5715" b="11430"/>
            <wp:docPr id="26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5" descr="IMG_27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注：若使用“手机扫码签章”则点击“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1"/>
          <w:szCs w:val="21"/>
        </w:rPr>
        <w:drawing>
          <wp:inline distT="0" distB="0" distL="114300" distR="114300">
            <wp:extent cx="381000" cy="390525"/>
            <wp:effectExtent l="0" t="0" r="0" b="5715"/>
            <wp:docPr id="15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6" descr="IMG_27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”按钮后，需使用已注册好的移动数字证书（标证通）进行扫码签章，签章操作步骤和实体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1"/>
          <w:szCs w:val="21"/>
        </w:rPr>
        <w:t>CA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证书签章一致；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生成后需上传所需报名材料，上传后点击“申请”按钮即可完成申请。</w:t>
      </w:r>
    </w:p>
    <w:p>
      <w:pPr>
        <w:ind w:left="0" w:leftChars="0" w:firstLine="0" w:firstLineChars="0"/>
        <w:rPr>
          <w:rFonts w:hint="eastAsia"/>
          <w:b/>
          <w:bCs/>
          <w:color w:val="FF0000"/>
          <w:sz w:val="28"/>
          <w:szCs w:val="36"/>
          <w:lang w:val="en-US" w:eastAsia="zh-CN"/>
        </w:rPr>
      </w:pPr>
      <w:r>
        <w:rPr>
          <w:rFonts w:hint="eastAsia"/>
          <w:b/>
          <w:bCs/>
          <w:color w:val="FF0000"/>
          <w:sz w:val="28"/>
          <w:szCs w:val="36"/>
          <w:lang w:val="en-US" w:eastAsia="zh-CN"/>
        </w:rPr>
        <w:t>上传材料前请先查看样例，PDF纸张大小：标准A4纸张（21厘米*29.7厘米）</w:t>
      </w:r>
      <w:r>
        <w:rPr>
          <w:rFonts w:hint="default" w:eastAsia="宋体"/>
          <w:lang w:val="en-US" w:eastAsia="zh-CN"/>
        </w:rPr>
        <w:object>
          <v:shape id="_x0000_i1025" o:spt="75" type="#_x0000_t75" style="height:65.4pt;width:72.6pt;" o:ole="t" filled="f" o:preferrelative="t" stroked="f" coordsize="21600,21600">
            <v:path/>
            <v:fill on="f" focussize="0,0"/>
            <v:stroke on="f"/>
            <v:imagedata r:id="rId22" o:title=""/>
            <o:lock v:ext="edit" aspectratio="t"/>
            <w10:wrap type="none"/>
            <w10:anchorlock/>
          </v:shape>
          <o:OLEObject Type="Embed" ProgID="Package" ShapeID="_x0000_i1025" DrawAspect="Icon" ObjectID="_1468075725" r:id="rId21">
            <o:LockedField>false</o:LockedField>
          </o:OLEObject>
        </w:obje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</w:pPr>
      <w:r>
        <w:drawing>
          <wp:inline distT="0" distB="0" distL="114300" distR="114300">
            <wp:extent cx="5266690" cy="3127375"/>
            <wp:effectExtent l="0" t="0" r="6350" b="12065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2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tabs>
          <w:tab w:val="left" w:pos="567"/>
        </w:tabs>
        <w:bidi w:val="0"/>
        <w:rPr>
          <w:rFonts w:hint="default"/>
          <w:lang w:val="en-US" w:eastAsia="zh-CN"/>
        </w:rPr>
      </w:pPr>
      <w:bookmarkStart w:id="0" w:name="_Toc15821"/>
      <w:r>
        <w:rPr>
          <w:rFonts w:hint="eastAsia"/>
          <w:lang w:val="en-US" w:eastAsia="zh-CN"/>
        </w:rPr>
        <w:t>挂牌期网络竞价</w:t>
      </w:r>
      <w:bookmarkEnd w:id="0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竞买人领取《资格确认书》后，即可按照公告中的时间去参与挂牌期报价</w:t>
      </w:r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第一步：进入竞价页面</w:t>
      </w: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如下图所示，找到“我的项目”后选择“土地”交易模块，查找对应已报名且资格审核通过，领取到竞买资格确认书的项目，点击“我要报价”；</w:t>
      </w:r>
    </w:p>
    <w:p>
      <w:pPr>
        <w:ind w:left="0" w:leftChars="0" w:firstLine="0" w:firstLineChars="0"/>
        <w:jc w:val="center"/>
      </w:pPr>
      <w:r>
        <w:drawing>
          <wp:inline distT="0" distB="0" distL="114300" distR="114300">
            <wp:extent cx="5268595" cy="3287395"/>
            <wp:effectExtent l="0" t="0" r="4445" b="4445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8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仔细阅读《电子竞价风险告知及接手确认书》，并对上述内容明确，若有异议，则点击【不同意】，放弃电子竞价；若无意见，则点击勾选“我已看过，并同意《电子竞价风险告知确认书》”，点击【同意】按钮。</w:t>
      </w:r>
    </w:p>
    <w:p>
      <w:pPr>
        <w:ind w:left="0" w:leftChars="0" w:firstLine="0" w:firstLineChars="0"/>
        <w:jc w:val="center"/>
      </w:pPr>
      <w:bookmarkStart w:id="3" w:name="_GoBack"/>
      <w:r>
        <w:drawing>
          <wp:inline distT="0" distB="0" distL="114300" distR="114300">
            <wp:extent cx="6181090" cy="3543935"/>
            <wp:effectExtent l="0" t="0" r="6350" b="698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上述点击【同意】后，进入到网上电子竞价系统</w:t>
      </w:r>
    </w:p>
    <w:p>
      <w:pPr>
        <w:ind w:left="0" w:leftChars="0" w:firstLine="0" w:firstLineChars="0"/>
        <w:jc w:val="center"/>
      </w:pPr>
      <w:r>
        <w:drawing>
          <wp:inline distT="0" distB="0" distL="114300" distR="114300">
            <wp:extent cx="6180455" cy="3006090"/>
            <wp:effectExtent l="0" t="0" r="6985" b="11430"/>
            <wp:docPr id="6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300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第二步：在线报价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如上图所示，进入到竞价页面后，可查看当前最高报价，竞价倒计时等内容，若需要报价，则点击对应的倍数（</w:t>
      </w:r>
      <w:r>
        <w:rPr>
          <w:rFonts w:hint="eastAsia"/>
          <w:color w:val="FF0000"/>
          <w:lang w:val="en-US" w:eastAsia="zh-CN"/>
        </w:rPr>
        <w:t>此处的倍数，为增价幅度的整倍数</w:t>
      </w:r>
      <w:r>
        <w:rPr>
          <w:rFonts w:hint="eastAsia"/>
          <w:lang w:val="en-US" w:eastAsia="zh-CN"/>
        </w:rPr>
        <w:t>）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>例：</w:t>
      </w:r>
      <w:r>
        <w:rPr>
          <w:rFonts w:hint="eastAsia"/>
          <w:lang w:val="en-US" w:eastAsia="zh-CN"/>
        </w:rPr>
        <w:t>如下图所示，当前报价为636万元，增价幅度为5万，当选择“2倍”时，则表示报价为5万*2倍=10万，即报价为“636+10万”</w:t>
      </w:r>
    </w:p>
    <w:p>
      <w:pPr>
        <w:ind w:left="0" w:leftChars="0" w:firstLine="0" w:firstLineChars="0"/>
        <w:jc w:val="center"/>
      </w:pPr>
      <w:r>
        <w:drawing>
          <wp:inline distT="0" distB="0" distL="114300" distR="114300">
            <wp:extent cx="6187440" cy="3657600"/>
            <wp:effectExtent l="0" t="0" r="0" b="0"/>
            <wp:docPr id="7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选择欲报价的增价倍数后，点击</w:t>
      </w:r>
      <w:r>
        <w:drawing>
          <wp:inline distT="0" distB="0" distL="114300" distR="114300">
            <wp:extent cx="937260" cy="325120"/>
            <wp:effectExtent l="0" t="0" r="7620" b="10160"/>
            <wp:docPr id="7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" cy="32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按钮，完成报价</w:t>
      </w:r>
    </w:p>
    <w:p>
      <w:pPr>
        <w:ind w:left="0" w:leftChars="0" w:firstLine="0" w:firstLineChars="0"/>
        <w:jc w:val="both"/>
      </w:pPr>
      <w:r>
        <w:drawing>
          <wp:inline distT="0" distB="0" distL="114300" distR="114300">
            <wp:extent cx="6187440" cy="3788410"/>
            <wp:effectExtent l="0" t="0" r="0" b="6350"/>
            <wp:docPr id="7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378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报价完成后，竞价系统即可显示当前最新的最高报价</w:t>
      </w:r>
    </w:p>
    <w:p>
      <w:pPr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6182995" cy="3796030"/>
            <wp:effectExtent l="0" t="0" r="4445" b="13970"/>
            <wp:docPr id="7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7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tabs>
          <w:tab w:val="left" w:pos="567"/>
        </w:tabs>
        <w:bidi w:val="0"/>
        <w:rPr>
          <w:rFonts w:hint="default"/>
          <w:lang w:val="en-US" w:eastAsia="zh-CN"/>
        </w:rPr>
      </w:pPr>
      <w:bookmarkStart w:id="1" w:name="_Toc29487"/>
      <w:r>
        <w:rPr>
          <w:rFonts w:hint="eastAsia"/>
          <w:lang w:val="en-US" w:eastAsia="zh-CN"/>
        </w:rPr>
        <w:t>延时竞价</w:t>
      </w:r>
      <w:bookmarkEnd w:id="1"/>
    </w:p>
    <w:p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第一步：确认或放弃继续延时竞价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当挂牌期满时，系统会自动进入询问期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若需要继续竞价，则</w:t>
      </w:r>
      <w:r>
        <w:rPr>
          <w:rFonts w:hint="eastAsia"/>
          <w:b/>
          <w:bCs/>
          <w:lang w:val="en-US" w:eastAsia="zh-CN"/>
        </w:rPr>
        <w:t>必须点击【参加】</w:t>
      </w:r>
      <w:r>
        <w:rPr>
          <w:rFonts w:hint="eastAsia"/>
          <w:lang w:val="en-US" w:eastAsia="zh-CN"/>
        </w:rPr>
        <w:t>按钮后，确认参与延时竞价，再根据土地使用挂牌公告中公布的演示竞价时间和地点要求，参与延时竞价或现场竞价。</w:t>
      </w:r>
    </w:p>
    <w:p>
      <w:pPr>
        <w:ind w:left="0" w:leftChars="0" w:firstLine="0" w:firstLineChars="0"/>
        <w:jc w:val="center"/>
      </w:pPr>
      <w:r>
        <w:drawing>
          <wp:inline distT="0" distB="0" distL="114300" distR="114300">
            <wp:extent cx="6184265" cy="3550285"/>
            <wp:effectExtent l="0" t="0" r="3175" b="635"/>
            <wp:docPr id="7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84265" cy="355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第二步：延时竞价报价</w:t>
      </w:r>
      <w:r>
        <w:rPr>
          <w:rFonts w:hint="eastAsia"/>
          <w:lang w:val="en-US" w:eastAsia="zh-CN"/>
        </w:rPr>
        <w:t>（</w:t>
      </w:r>
      <w:r>
        <w:rPr>
          <w:rFonts w:hint="eastAsia"/>
          <w:color w:val="FF0000"/>
          <w:lang w:val="en-US" w:eastAsia="zh-CN"/>
        </w:rPr>
        <w:t>此第二步操作仅针对线上网络延时竞价，现场竞价的要按照公告要求，来现场参与报价</w:t>
      </w:r>
      <w:r>
        <w:rPr>
          <w:rFonts w:hint="eastAsia"/>
          <w:lang w:val="en-US" w:eastAsia="zh-CN"/>
        </w:rPr>
        <w:t>）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到了公告中公布的延时竞价时间后，和上述挂牌期的网络竞价一样，登录系统，找到项目，进入网络竞价系统；</w:t>
      </w:r>
    </w:p>
    <w:p>
      <w:pPr>
        <w:ind w:left="0" w:leftChars="0" w:firstLine="0" w:firstLineChars="0"/>
        <w:jc w:val="center"/>
      </w:pPr>
      <w:r>
        <w:drawing>
          <wp:inline distT="0" distB="0" distL="114300" distR="114300">
            <wp:extent cx="6184265" cy="3799205"/>
            <wp:effectExtent l="0" t="0" r="3175" b="10795"/>
            <wp:docPr id="7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84265" cy="379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根据实际情况进行报价，在当前一轮延时竞价期，若有单位报价，则系统自动进入下一轮延时竞价期，如此循环；直至在其中一个延时竞价期无单位继续报价，则演示竞价结束；</w:t>
      </w:r>
    </w:p>
    <w:p>
      <w:pPr>
        <w:pStyle w:val="3"/>
        <w:tabs>
          <w:tab w:val="left" w:pos="567"/>
        </w:tabs>
        <w:bidi w:val="0"/>
        <w:rPr>
          <w:rFonts w:hint="default"/>
          <w:lang w:val="en-US" w:eastAsia="zh-CN"/>
        </w:rPr>
      </w:pPr>
      <w:bookmarkStart w:id="2" w:name="_Toc15351"/>
      <w:r>
        <w:rPr>
          <w:rFonts w:hint="eastAsia"/>
          <w:lang w:val="en-US" w:eastAsia="zh-CN"/>
        </w:rPr>
        <w:t>土地使用权成交</w:t>
      </w:r>
      <w:bookmarkEnd w:id="2"/>
    </w:p>
    <w:p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第一步：系统自动确定成交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延时竞价期间，若在其中一个延时竞价期无单位报价，则延时竞价结束，以演示竞价期的最高报价为最终成交单位。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52" w:lineRule="atLeast"/>
        <w:ind w:left="0" w:right="0" w:firstLine="0"/>
        <w:rPr>
          <w:rFonts w:hint="default"/>
          <w:lang w:val="en-US" w:eastAsia="zh-CN"/>
        </w:rPr>
      </w:pPr>
      <w:r>
        <w:drawing>
          <wp:inline distT="0" distB="0" distL="114300" distR="114300">
            <wp:extent cx="6188710" cy="3905250"/>
            <wp:effectExtent l="0" t="0" r="13970" b="11430"/>
            <wp:docPr id="7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SourceHanSansCN-Regular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E0YzAyMTg5YzdkMTI3M2FiNzVmZmIyN2E4ZjhiZDUifQ=="/>
  </w:docVars>
  <w:rsids>
    <w:rsidRoot w:val="67A57989"/>
    <w:rsid w:val="12220368"/>
    <w:rsid w:val="1EF572D6"/>
    <w:rsid w:val="67A579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7">
    <w:name w:val="Hyperlink"/>
    <w:basedOn w:val="6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4" Type="http://schemas.openxmlformats.org/officeDocument/2006/relationships/fontTable" Target="fontTable.xml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theme" Target="theme/theme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emf"/><Relationship Id="rId21" Type="http://schemas.openxmlformats.org/officeDocument/2006/relationships/oleObject" Target="embeddings/oleObject1.bin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17</Pages>
  <Words>1252</Words>
  <Characters>1269</Characters>
  <Lines>0</Lines>
  <Paragraphs>0</Paragraphs>
  <TotalTime>0</TotalTime>
  <ScaleCrop>false</ScaleCrop>
  <LinksUpToDate>false</LinksUpToDate>
  <CharactersWithSpaces>1299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2023-05-23T10:09:00Z</dcterms:created>
  <dc:creator>陈瀚樵</dc:creator>
  <cp:lastModifiedBy>陈瀚樵</cp:lastModifiedBy>
  <dcterms:modified xsi:type="dcterms:W3CDTF">2024-07-05T10:17:24Z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4D09CE7928DA4056B130605EB5782CB7_13</vt:lpwstr>
  </property>
</Properties>
</file>