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BA14D">
      <w:pPr>
        <w:pStyle w:val="80"/>
        <w:rPr>
          <w:rFonts w:hint="eastAsia" w:ascii="仿宋" w:hAnsi="仿宋" w:eastAsia="仿宋" w:cs="仿宋"/>
          <w:b/>
          <w:spacing w:val="-70"/>
          <w:sz w:val="24"/>
          <w:szCs w:val="24"/>
        </w:rPr>
      </w:pPr>
    </w:p>
    <w:p w14:paraId="2299510E">
      <w:pPr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</w:p>
    <w:p w14:paraId="50C3298D"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1603377B"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6A360DBB"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5C360A81"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37A1E2EC"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7763979A"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2E208D4C">
      <w:pPr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0B28CC46">
      <w:pPr>
        <w:ind w:firstLine="0" w:firstLineChars="0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吐鲁番市公共资源交易平台</w:t>
      </w:r>
    </w:p>
    <w:p w14:paraId="300EACB6">
      <w:pPr>
        <w:ind w:firstLine="0" w:firstLineChars="0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产权竞买</w:t>
      </w:r>
      <w:r>
        <w:rPr>
          <w:rFonts w:hint="eastAsia" w:ascii="仿宋" w:hAnsi="仿宋" w:eastAsia="仿宋" w:cs="仿宋"/>
          <w:b/>
          <w:sz w:val="44"/>
          <w:szCs w:val="44"/>
        </w:rPr>
        <w:t>操作</w:t>
      </w: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指南</w:t>
      </w:r>
    </w:p>
    <w:p w14:paraId="0986C2C9">
      <w:pPr>
        <w:pStyle w:val="56"/>
        <w:ind w:firstLine="360"/>
        <w:rPr>
          <w:rFonts w:hint="eastAsia" w:ascii="仿宋" w:hAnsi="仿宋" w:eastAsia="仿宋" w:cs="仿宋"/>
          <w:sz w:val="24"/>
          <w:szCs w:val="24"/>
        </w:rPr>
      </w:pPr>
    </w:p>
    <w:p w14:paraId="770D2C0F">
      <w:pPr>
        <w:pStyle w:val="56"/>
        <w:ind w:firstLine="360"/>
        <w:rPr>
          <w:rFonts w:hint="eastAsia" w:ascii="仿宋" w:hAnsi="仿宋" w:eastAsia="仿宋" w:cs="仿宋"/>
          <w:sz w:val="24"/>
          <w:szCs w:val="24"/>
        </w:rPr>
      </w:pPr>
    </w:p>
    <w:p w14:paraId="266BC007">
      <w:pPr>
        <w:pStyle w:val="56"/>
        <w:ind w:firstLine="360"/>
        <w:rPr>
          <w:rFonts w:hint="eastAsia" w:ascii="仿宋" w:hAnsi="仿宋" w:eastAsia="仿宋" w:cs="仿宋"/>
          <w:sz w:val="24"/>
          <w:szCs w:val="24"/>
        </w:rPr>
      </w:pPr>
    </w:p>
    <w:p w14:paraId="10E14A51">
      <w:pPr>
        <w:pStyle w:val="56"/>
        <w:ind w:firstLine="360"/>
        <w:rPr>
          <w:rFonts w:hint="eastAsia" w:ascii="仿宋" w:hAnsi="仿宋" w:eastAsia="仿宋" w:cs="仿宋"/>
          <w:sz w:val="24"/>
          <w:szCs w:val="24"/>
        </w:rPr>
      </w:pPr>
    </w:p>
    <w:p w14:paraId="6CEB1BBB">
      <w:pPr>
        <w:pStyle w:val="56"/>
        <w:ind w:firstLine="360"/>
        <w:rPr>
          <w:rFonts w:hint="eastAsia" w:ascii="仿宋" w:hAnsi="仿宋" w:eastAsia="仿宋" w:cs="仿宋"/>
          <w:sz w:val="24"/>
          <w:szCs w:val="24"/>
        </w:rPr>
      </w:pPr>
    </w:p>
    <w:p w14:paraId="31AEAD1F">
      <w:pPr>
        <w:pStyle w:val="56"/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337C36E3">
      <w:pPr>
        <w:pStyle w:val="56"/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21CE09C7">
      <w:pPr>
        <w:pStyle w:val="56"/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115FEE30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46D62A97">
      <w:pPr>
        <w:pStyle w:val="56"/>
        <w:ind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4E5002DB">
      <w:pPr>
        <w:ind w:firstLine="0" w:firstLineChars="0"/>
        <w:jc w:val="center"/>
        <w:rPr>
          <w:rFonts w:hint="eastAsia" w:ascii="仿宋" w:hAnsi="仿宋" w:eastAsia="仿宋" w:cs="仿宋"/>
          <w:b/>
          <w:spacing w:val="200"/>
          <w:sz w:val="24"/>
          <w:szCs w:val="24"/>
        </w:rPr>
      </w:pPr>
      <w:r>
        <w:rPr>
          <w:rFonts w:hint="eastAsia" w:ascii="仿宋" w:hAnsi="仿宋" w:eastAsia="仿宋" w:cs="仿宋"/>
          <w:b/>
          <w:spacing w:val="200"/>
          <w:sz w:val="24"/>
          <w:szCs w:val="24"/>
        </w:rPr>
        <w:t>目录</w:t>
      </w:r>
    </w:p>
    <w:p w14:paraId="454D558E">
      <w:pPr>
        <w:pStyle w:val="28"/>
        <w:tabs>
          <w:tab w:val="right" w:leader="dot" w:pos="9746"/>
        </w:tabs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TOC \o "4-5" \h \z \t "标题 1,1,标题 2,2,标题 3,3"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Cs w:val="24"/>
        </w:rPr>
        <w:fldChar w:fldCharType="begin"/>
      </w:r>
      <w:r>
        <w:rPr>
          <w:rFonts w:hint="eastAsia" w:ascii="仿宋" w:hAnsi="仿宋" w:eastAsia="仿宋" w:cs="仿宋"/>
          <w:szCs w:val="24"/>
        </w:rPr>
        <w:instrText xml:space="preserve"> HYPERLINK \l _Toc23635 </w:instrText>
      </w:r>
      <w:r>
        <w:rPr>
          <w:rFonts w:hint="eastAsia" w:ascii="仿宋" w:hAnsi="仿宋" w:eastAsia="仿宋" w:cs="仿宋"/>
          <w:szCs w:val="24"/>
        </w:rPr>
        <w:fldChar w:fldCharType="separate"/>
      </w:r>
      <w:r>
        <w:rPr>
          <w:rFonts w:hint="eastAsia" w:ascii="仿宋" w:hAnsi="仿宋" w:eastAsia="仿宋" w:cs="仿宋"/>
          <w:szCs w:val="24"/>
          <w:lang w:val="en-US" w:eastAsia="zh-CN"/>
        </w:rPr>
        <w:t>一、 产权竞买操作指南</w:t>
      </w:r>
      <w:r>
        <w:tab/>
      </w:r>
      <w:r>
        <w:fldChar w:fldCharType="begin"/>
      </w:r>
      <w:r>
        <w:instrText xml:space="preserve"> PAGEREF _Toc23635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仿宋" w:hAnsi="仿宋" w:eastAsia="仿宋" w:cs="仿宋"/>
          <w:szCs w:val="24"/>
        </w:rPr>
        <w:fldChar w:fldCharType="end"/>
      </w:r>
    </w:p>
    <w:p w14:paraId="7779CE92">
      <w:pPr>
        <w:pStyle w:val="34"/>
        <w:tabs>
          <w:tab w:val="right" w:leader="dot" w:pos="9746"/>
        </w:tabs>
      </w:pPr>
      <w:r>
        <w:rPr>
          <w:rFonts w:hint="eastAsia" w:ascii="仿宋" w:hAnsi="仿宋" w:eastAsia="仿宋" w:cs="仿宋"/>
          <w:szCs w:val="24"/>
        </w:rPr>
        <w:fldChar w:fldCharType="begin"/>
      </w:r>
      <w:r>
        <w:rPr>
          <w:rFonts w:hint="eastAsia" w:ascii="仿宋" w:hAnsi="仿宋" w:eastAsia="仿宋" w:cs="仿宋"/>
          <w:szCs w:val="24"/>
        </w:rPr>
        <w:instrText xml:space="preserve"> HYPERLINK \l _Toc9386 </w:instrText>
      </w:r>
      <w:r>
        <w:rPr>
          <w:rFonts w:hint="eastAsia" w:ascii="仿宋" w:hAnsi="仿宋" w:eastAsia="仿宋" w:cs="仿宋"/>
          <w:szCs w:val="24"/>
        </w:rPr>
        <w:fldChar w:fldCharType="separate"/>
      </w:r>
      <w:r>
        <w:rPr>
          <w:rFonts w:hint="default" w:ascii="Times New Roman" w:hAnsi="Times New Roman" w:eastAsia="仿宋" w:cs="Times New Roman"/>
          <w:szCs w:val="30"/>
          <w:lang w:val="en-US" w:eastAsia="zh-CN"/>
        </w:rPr>
        <w:t xml:space="preserve">1.1、 </w:t>
      </w:r>
      <w:r>
        <w:rPr>
          <w:rFonts w:hint="eastAsia" w:ascii="仿宋" w:hAnsi="仿宋" w:eastAsia="仿宋" w:cs="仿宋"/>
          <w:szCs w:val="24"/>
          <w:lang w:val="en-US" w:eastAsia="zh-CN"/>
        </w:rPr>
        <w:t>项目报名</w:t>
      </w:r>
      <w:r>
        <w:tab/>
      </w:r>
      <w:r>
        <w:fldChar w:fldCharType="begin"/>
      </w:r>
      <w:r>
        <w:instrText xml:space="preserve"> PAGEREF _Toc9386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仿宋" w:hAnsi="仿宋" w:eastAsia="仿宋" w:cs="仿宋"/>
          <w:szCs w:val="24"/>
        </w:rPr>
        <w:fldChar w:fldCharType="end"/>
      </w:r>
    </w:p>
    <w:p w14:paraId="3B0CE56F">
      <w:pPr>
        <w:pStyle w:val="34"/>
        <w:tabs>
          <w:tab w:val="right" w:leader="dot" w:pos="9746"/>
        </w:tabs>
      </w:pPr>
      <w:r>
        <w:rPr>
          <w:rFonts w:hint="eastAsia" w:ascii="仿宋" w:hAnsi="仿宋" w:eastAsia="仿宋" w:cs="仿宋"/>
          <w:szCs w:val="24"/>
        </w:rPr>
        <w:fldChar w:fldCharType="begin"/>
      </w:r>
      <w:r>
        <w:rPr>
          <w:rFonts w:hint="eastAsia" w:ascii="仿宋" w:hAnsi="仿宋" w:eastAsia="仿宋" w:cs="仿宋"/>
          <w:szCs w:val="24"/>
        </w:rPr>
        <w:instrText xml:space="preserve"> HYPERLINK \l _Toc11742 </w:instrText>
      </w:r>
      <w:r>
        <w:rPr>
          <w:rFonts w:hint="eastAsia" w:ascii="仿宋" w:hAnsi="仿宋" w:eastAsia="仿宋" w:cs="仿宋"/>
          <w:szCs w:val="24"/>
        </w:rPr>
        <w:fldChar w:fldCharType="separate"/>
      </w:r>
      <w:r>
        <w:rPr>
          <w:rFonts w:hint="default" w:ascii="Times New Roman" w:hAnsi="Times New Roman" w:cs="Times New Roman"/>
          <w:szCs w:val="30"/>
          <w:lang w:val="en-US" w:eastAsia="zh-CN"/>
        </w:rPr>
        <w:t xml:space="preserve">1.2、 </w:t>
      </w:r>
      <w:r>
        <w:rPr>
          <w:rFonts w:hint="eastAsia"/>
          <w:lang w:val="en-US" w:eastAsia="zh-CN"/>
        </w:rPr>
        <w:t>竞买申请书</w:t>
      </w:r>
      <w:r>
        <w:tab/>
      </w:r>
      <w:r>
        <w:fldChar w:fldCharType="begin"/>
      </w:r>
      <w:r>
        <w:instrText xml:space="preserve"> PAGEREF _Toc11742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仿宋" w:hAnsi="仿宋" w:eastAsia="仿宋" w:cs="仿宋"/>
          <w:szCs w:val="24"/>
        </w:rPr>
        <w:fldChar w:fldCharType="end"/>
      </w:r>
    </w:p>
    <w:p w14:paraId="7F9ACB5E">
      <w:pPr>
        <w:pStyle w:val="34"/>
        <w:tabs>
          <w:tab w:val="right" w:leader="dot" w:pos="9746"/>
        </w:tabs>
      </w:pPr>
      <w:r>
        <w:rPr>
          <w:rFonts w:hint="eastAsia" w:ascii="仿宋" w:hAnsi="仿宋" w:eastAsia="仿宋" w:cs="仿宋"/>
          <w:szCs w:val="24"/>
        </w:rPr>
        <w:fldChar w:fldCharType="begin"/>
      </w:r>
      <w:r>
        <w:rPr>
          <w:rFonts w:hint="eastAsia" w:ascii="仿宋" w:hAnsi="仿宋" w:eastAsia="仿宋" w:cs="仿宋"/>
          <w:szCs w:val="24"/>
        </w:rPr>
        <w:instrText xml:space="preserve"> HYPERLINK \l _Toc11979 </w:instrText>
      </w:r>
      <w:r>
        <w:rPr>
          <w:rFonts w:hint="eastAsia" w:ascii="仿宋" w:hAnsi="仿宋" w:eastAsia="仿宋" w:cs="仿宋"/>
          <w:szCs w:val="24"/>
        </w:rPr>
        <w:fldChar w:fldCharType="separate"/>
      </w:r>
      <w:r>
        <w:rPr>
          <w:rFonts w:hint="default" w:ascii="Times New Roman" w:hAnsi="Times New Roman" w:cs="Times New Roman"/>
          <w:szCs w:val="30"/>
          <w:lang w:val="en-US" w:eastAsia="zh-CN"/>
        </w:rPr>
        <w:t xml:space="preserve">1.3、 </w:t>
      </w:r>
      <w:r>
        <w:rPr>
          <w:rFonts w:hint="eastAsia"/>
          <w:lang w:val="en-US" w:eastAsia="zh-CN"/>
        </w:rPr>
        <w:t>挂牌期网络竞价</w:t>
      </w:r>
      <w:r>
        <w:tab/>
      </w:r>
      <w:r>
        <w:fldChar w:fldCharType="begin"/>
      </w:r>
      <w:r>
        <w:instrText xml:space="preserve"> PAGEREF _Toc11979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仿宋" w:hAnsi="仿宋" w:eastAsia="仿宋" w:cs="仿宋"/>
          <w:szCs w:val="24"/>
        </w:rPr>
        <w:fldChar w:fldCharType="end"/>
      </w:r>
    </w:p>
    <w:p w14:paraId="2C7D909C">
      <w:pPr>
        <w:pStyle w:val="34"/>
        <w:tabs>
          <w:tab w:val="right" w:leader="dot" w:pos="9746"/>
        </w:tabs>
      </w:pPr>
      <w:r>
        <w:rPr>
          <w:rFonts w:hint="eastAsia" w:ascii="仿宋" w:hAnsi="仿宋" w:eastAsia="仿宋" w:cs="仿宋"/>
          <w:szCs w:val="24"/>
        </w:rPr>
        <w:fldChar w:fldCharType="begin"/>
      </w:r>
      <w:r>
        <w:rPr>
          <w:rFonts w:hint="eastAsia" w:ascii="仿宋" w:hAnsi="仿宋" w:eastAsia="仿宋" w:cs="仿宋"/>
          <w:szCs w:val="24"/>
        </w:rPr>
        <w:instrText xml:space="preserve"> HYPERLINK \l _Toc19667 </w:instrText>
      </w:r>
      <w:r>
        <w:rPr>
          <w:rFonts w:hint="eastAsia" w:ascii="仿宋" w:hAnsi="仿宋" w:eastAsia="仿宋" w:cs="仿宋"/>
          <w:szCs w:val="24"/>
        </w:rPr>
        <w:fldChar w:fldCharType="separate"/>
      </w:r>
      <w:r>
        <w:rPr>
          <w:rFonts w:hint="default" w:ascii="Times New Roman" w:hAnsi="Times New Roman" w:cs="Times New Roman"/>
          <w:szCs w:val="30"/>
          <w:lang w:val="en-US" w:eastAsia="zh-CN"/>
        </w:rPr>
        <w:t xml:space="preserve">1.4、 </w:t>
      </w:r>
      <w:r>
        <w:rPr>
          <w:rFonts w:hint="eastAsia"/>
          <w:lang w:val="en-US" w:eastAsia="zh-CN"/>
        </w:rPr>
        <w:t>延时竞价</w:t>
      </w:r>
      <w:r>
        <w:tab/>
      </w:r>
      <w:r>
        <w:fldChar w:fldCharType="begin"/>
      </w:r>
      <w:r>
        <w:instrText xml:space="preserve"> PAGEREF _Toc19667 \h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ascii="仿宋" w:hAnsi="仿宋" w:eastAsia="仿宋" w:cs="仿宋"/>
          <w:szCs w:val="24"/>
        </w:rPr>
        <w:fldChar w:fldCharType="end"/>
      </w:r>
    </w:p>
    <w:p w14:paraId="40E8DAFE">
      <w:pPr>
        <w:pStyle w:val="34"/>
        <w:tabs>
          <w:tab w:val="right" w:leader="dot" w:pos="9746"/>
        </w:tabs>
      </w:pPr>
      <w:r>
        <w:rPr>
          <w:rFonts w:hint="eastAsia" w:ascii="仿宋" w:hAnsi="仿宋" w:eastAsia="仿宋" w:cs="仿宋"/>
          <w:szCs w:val="24"/>
        </w:rPr>
        <w:fldChar w:fldCharType="begin"/>
      </w:r>
      <w:r>
        <w:rPr>
          <w:rFonts w:hint="eastAsia" w:ascii="仿宋" w:hAnsi="仿宋" w:eastAsia="仿宋" w:cs="仿宋"/>
          <w:szCs w:val="24"/>
        </w:rPr>
        <w:instrText xml:space="preserve"> HYPERLINK \l _Toc27902 </w:instrText>
      </w:r>
      <w:r>
        <w:rPr>
          <w:rFonts w:hint="eastAsia" w:ascii="仿宋" w:hAnsi="仿宋" w:eastAsia="仿宋" w:cs="仿宋"/>
          <w:szCs w:val="24"/>
        </w:rPr>
        <w:fldChar w:fldCharType="separate"/>
      </w:r>
      <w:r>
        <w:rPr>
          <w:rFonts w:hint="default" w:ascii="Times New Roman" w:hAnsi="Times New Roman" w:cs="Times New Roman"/>
          <w:szCs w:val="30"/>
          <w:lang w:val="en-US" w:eastAsia="zh-CN"/>
        </w:rPr>
        <w:t xml:space="preserve">1.5、 </w:t>
      </w:r>
      <w:r>
        <w:rPr>
          <w:rFonts w:hint="eastAsia"/>
          <w:lang w:val="en-US" w:eastAsia="zh-CN"/>
        </w:rPr>
        <w:t>产权成交</w:t>
      </w:r>
      <w:r>
        <w:tab/>
      </w:r>
      <w:r>
        <w:fldChar w:fldCharType="begin"/>
      </w:r>
      <w:r>
        <w:instrText xml:space="preserve"> PAGEREF _Toc27902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仿宋" w:hAnsi="仿宋" w:eastAsia="仿宋" w:cs="仿宋"/>
          <w:szCs w:val="24"/>
        </w:rPr>
        <w:fldChar w:fldCharType="end"/>
      </w:r>
    </w:p>
    <w:p w14:paraId="398D9A53">
      <w:pPr>
        <w:pStyle w:val="56"/>
        <w:spacing w:line="240" w:lineRule="auto"/>
        <w:ind w:firstLine="3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4"/>
        </w:rPr>
        <w:fldChar w:fldCharType="end"/>
      </w:r>
    </w:p>
    <w:p w14:paraId="5684DAF5">
      <w:pPr>
        <w:pStyle w:val="80"/>
        <w:rPr>
          <w:rFonts w:hint="eastAsia" w:ascii="仿宋" w:hAnsi="仿宋" w:eastAsia="仿宋" w:cs="仿宋"/>
          <w:sz w:val="24"/>
          <w:szCs w:val="24"/>
        </w:rPr>
      </w:pPr>
    </w:p>
    <w:p w14:paraId="553E9F96">
      <w:pPr>
        <w:pStyle w:val="80"/>
        <w:rPr>
          <w:rFonts w:hint="eastAsia" w:ascii="仿宋" w:hAnsi="仿宋" w:eastAsia="仿宋" w:cs="仿宋"/>
          <w:sz w:val="24"/>
          <w:szCs w:val="24"/>
        </w:rPr>
      </w:pPr>
    </w:p>
    <w:p w14:paraId="38D03CE9">
      <w:pPr>
        <w:pStyle w:val="80"/>
        <w:rPr>
          <w:rFonts w:hint="eastAsia" w:ascii="仿宋" w:hAnsi="仿宋" w:eastAsia="仿宋" w:cs="仿宋"/>
          <w:sz w:val="24"/>
          <w:szCs w:val="24"/>
        </w:rPr>
      </w:pPr>
    </w:p>
    <w:p w14:paraId="2410C54B">
      <w:pPr>
        <w:pStyle w:val="80"/>
        <w:rPr>
          <w:rFonts w:hint="eastAsia" w:ascii="仿宋" w:hAnsi="仿宋" w:eastAsia="仿宋" w:cs="仿宋"/>
          <w:sz w:val="24"/>
          <w:szCs w:val="24"/>
        </w:rPr>
      </w:pPr>
    </w:p>
    <w:p w14:paraId="4A4131C8">
      <w:pPr>
        <w:pStyle w:val="80"/>
        <w:rPr>
          <w:rFonts w:hint="eastAsia" w:ascii="仿宋" w:hAnsi="仿宋" w:eastAsia="仿宋" w:cs="仿宋"/>
          <w:sz w:val="24"/>
          <w:szCs w:val="24"/>
        </w:rPr>
      </w:pPr>
    </w:p>
    <w:p w14:paraId="4593CE2E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4C923743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119E8799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1C56DE61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4F86F3C4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34248F9B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57249314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5D8CDAE9">
      <w:pPr>
        <w:ind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3FE58B16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p w14:paraId="674E78BD">
      <w:pPr>
        <w:pStyle w:val="2"/>
        <w:bidi w:val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Toc23635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产权竞买操作指南</w:t>
      </w:r>
      <w:bookmarkEnd w:id="0"/>
    </w:p>
    <w:p w14:paraId="2C58FD2E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操作前提：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（1）已经按照《</w:t>
      </w:r>
      <w:r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fldChar w:fldCharType="begin"/>
      </w:r>
      <w:r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instrText xml:space="preserve"> HYPERLINK "http://ggzy.tlfzw.cn/tulufanggzy/bzzx/012001/20220622/82af292e-a316-4c80-b0ca-975398f08191.html" \o "企业入库操作指南" \t "http://ggzy.tlfzw.cn/tulufanggzy/bzzx/_blank" </w:instrText>
      </w:r>
      <w:r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fldChar w:fldCharType="separate"/>
      </w:r>
      <w:r>
        <w:rPr>
          <w:rStyle w:val="45"/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t>企业入库操作指南</w:t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》在吐鲁番市公共资源交易网免费注册、完善单位信息并审核通过；</w:t>
      </w:r>
    </w:p>
    <w:p w14:paraId="26B94FF1">
      <w:pPr>
        <w:numPr>
          <w:ilvl w:val="0"/>
          <w:numId w:val="2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已经按照公告要求及《</w:t>
      </w:r>
      <w:r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fldChar w:fldCharType="begin"/>
      </w:r>
      <w:r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instrText xml:space="preserve"> HYPERLINK "http://ggzy.tlfzw.cn/tulufanggzy/bzzx/012001/20220622/3f326d8f-cea3-4e49-bfff-d59c6a99cc24.html" \o "新疆CA数字证书线上办理指南" \t "http://ggzy.tlfzw.cn/tulufanggzy/bzzx/_blank" </w:instrText>
      </w:r>
      <w:r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fldChar w:fldCharType="separate"/>
      </w:r>
      <w:r>
        <w:rPr>
          <w:rStyle w:val="45"/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t>新疆CA数字证书线上办理指南</w:t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EBF3FF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》办理CA证书并安装驱动；</w:t>
      </w:r>
    </w:p>
    <w:p w14:paraId="4B4DCA5D">
      <w:pPr>
        <w:numPr>
          <w:ilvl w:val="0"/>
          <w:numId w:val="2"/>
        </w:num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使用已注册的单位账号或者CA证书登录“吐鲁番市公共资源交易平台”</w:t>
      </w:r>
    </w:p>
    <w:p w14:paraId="3478D4DA">
      <w:pPr>
        <w:pStyle w:val="3"/>
        <w:bidi w:val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1" w:name="_Toc9386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项目报名</w:t>
      </w:r>
      <w:bookmarkEnd w:id="1"/>
    </w:p>
    <w:p w14:paraId="2617450E"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第一步：公告及相关项目资料查看</w:t>
      </w:r>
    </w:p>
    <w:p w14:paraId="6611F51B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如下图所示，在吐鲁番市公共资源交易网站的“交易大厅”模块，选择“产权交易”栏目，根据实际需要，输入产权项目名称等信息，点击“</w:t>
      </w:r>
      <w:r>
        <w:drawing>
          <wp:inline distT="0" distB="0" distL="114300" distR="114300">
            <wp:extent cx="519430" cy="297180"/>
            <wp:effectExtent l="0" t="0" r="13970" b="762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”，查找对应产权交易项目。</w:t>
      </w:r>
    </w:p>
    <w:p w14:paraId="1B5A8E1E">
      <w:pPr>
        <w:ind w:left="0" w:leftChars="0" w:firstLine="0" w:firstLineChars="0"/>
        <w:jc w:val="center"/>
      </w:pPr>
      <w:r>
        <w:drawing>
          <wp:inline distT="0" distB="0" distL="114300" distR="114300">
            <wp:extent cx="6188710" cy="3261995"/>
            <wp:effectExtent l="0" t="0" r="13970" b="1460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0404">
      <w:p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第二步：登录吐鲁番是公共资源交易系统，查找欲报名项目</w:t>
      </w:r>
    </w:p>
    <w:p w14:paraId="6C2D067F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根据单位注册的账号，或已激活的CA数字证书，登录吐鲁番是公共资源</w:t>
      </w:r>
      <w:bookmarkStart w:id="6" w:name="_GoBack"/>
      <w:bookmarkEnd w:id="6"/>
      <w:r>
        <w:rPr>
          <w:rFonts w:hint="eastAsia"/>
          <w:lang w:val="en-US" w:eastAsia="zh-CN"/>
        </w:rPr>
        <w:t>交易平台，可点击查看“标证通”的内容，若无需查看，直接关闭改弹窗即可；</w:t>
      </w:r>
    </w:p>
    <w:p w14:paraId="340BC846">
      <w:p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519420" cy="2449830"/>
            <wp:effectExtent l="0" t="0" r="508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1942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AC90E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点击“招标公告”模块后，选择“权益交易”业务，即可查看正在报名中的产权交易项目，也可根据实际需要选择查看其他状态项目。</w:t>
      </w:r>
    </w:p>
    <w:p w14:paraId="180E5221">
      <w:pPr>
        <w:ind w:left="0" w:leftChars="0" w:firstLine="0" w:firstLineChars="0"/>
        <w:jc w:val="center"/>
      </w:pPr>
      <w:r>
        <w:drawing>
          <wp:inline distT="0" distB="0" distL="114300" distR="114300">
            <wp:extent cx="6183630" cy="2762250"/>
            <wp:effectExtent l="0" t="0" r="1270" b="6350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CE6EB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可根据实际需要，输入产权交易项目名称，搜索所需项目</w:t>
      </w:r>
    </w:p>
    <w:p w14:paraId="298A5579">
      <w:pPr>
        <w:ind w:left="0" w:leftChars="0" w:firstLine="0" w:firstLineChars="0"/>
        <w:jc w:val="center"/>
      </w:pPr>
      <w:r>
        <w:drawing>
          <wp:inline distT="0" distB="0" distL="114300" distR="114300">
            <wp:extent cx="6188710" cy="3068320"/>
            <wp:effectExtent l="0" t="0" r="8890" b="508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45946">
      <w:p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第三步：项目报名</w:t>
      </w:r>
    </w:p>
    <w:p w14:paraId="5FF9FEC2">
      <w:pPr>
        <w:ind w:left="0" w:leftChars="0" w:firstLine="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选择欲报名项目，点击“我要报名”进入“阅读报名规则”查看页面，阅读报名规则，若无异议，点击“同意”按钮。</w:t>
      </w:r>
    </w:p>
    <w:p w14:paraId="45BC79F2">
      <w:pPr>
        <w:ind w:left="0" w:leftChars="0" w:firstLine="0" w:firstLineChars="0"/>
        <w:jc w:val="center"/>
      </w:pPr>
      <w:r>
        <w:drawing>
          <wp:inline distT="0" distB="0" distL="114300" distR="114300">
            <wp:extent cx="6188710" cy="3258820"/>
            <wp:effectExtent l="0" t="0" r="13970" b="254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A1B0D">
      <w:pPr>
        <w:pStyle w:val="3"/>
        <w:bidi w:val="0"/>
        <w:rPr>
          <w:rFonts w:hint="default"/>
          <w:lang w:val="en-US" w:eastAsia="zh-CN"/>
        </w:rPr>
      </w:pPr>
      <w:bookmarkStart w:id="2" w:name="_Toc11742"/>
      <w:r>
        <w:rPr>
          <w:rFonts w:hint="eastAsia"/>
          <w:lang w:val="en-US" w:eastAsia="zh-CN"/>
        </w:rPr>
        <w:t>竞买申请书</w:t>
      </w:r>
      <w:bookmarkEnd w:id="2"/>
    </w:p>
    <w:p w14:paraId="135AF18E">
      <w:pPr>
        <w:ind w:left="0" w:leftChars="0" w:firstLine="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第一步：选择竞买方式</w:t>
      </w:r>
    </w:p>
    <w:p w14:paraId="0798FB5B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点击“单独申请”按钮或“联合申请”按钮进入信息填写页面。</w:t>
      </w:r>
    </w:p>
    <w:p w14:paraId="5560B162">
      <w:pPr>
        <w:ind w:left="0" w:leftChars="0" w:firstLine="0" w:firstLineChars="0"/>
        <w:jc w:val="center"/>
      </w:pPr>
      <w:r>
        <w:drawing>
          <wp:inline distT="0" distB="0" distL="114300" distR="114300">
            <wp:extent cx="6188710" cy="3258820"/>
            <wp:effectExtent l="0" t="0" r="13970" b="25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BC835">
      <w:pPr>
        <w:ind w:left="0" w:leftChars="0" w:firstLine="0" w:firstLineChars="0"/>
        <w:jc w:val="center"/>
      </w:pPr>
      <w:r>
        <w:drawing>
          <wp:inline distT="0" distB="0" distL="114300" distR="114300">
            <wp:extent cx="6188710" cy="3258820"/>
            <wp:effectExtent l="0" t="0" r="13970" b="254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4BA2">
      <w:pPr>
        <w:ind w:left="0" w:leftChars="0" w:firstLine="0" w:firstLineChars="0"/>
        <w:jc w:val="center"/>
      </w:pPr>
      <w:r>
        <w:drawing>
          <wp:inline distT="0" distB="0" distL="114300" distR="114300">
            <wp:extent cx="6188710" cy="3258820"/>
            <wp:effectExtent l="0" t="0" r="13970" b="254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0EC58">
      <w:pPr>
        <w:ind w:left="0" w:leftChars="0" w:firstLine="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第二步：上传报名资料</w:t>
      </w:r>
    </w:p>
    <w:p w14:paraId="52D1BE82">
      <w:p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上传公告要求的报名资料，点击上传后的文件名称可按照下列步骤签章，所有工作完成后点击“申请”按钮。</w:t>
      </w:r>
      <w:r>
        <w:drawing>
          <wp:inline distT="0" distB="0" distL="114300" distR="114300">
            <wp:extent cx="6188710" cy="3258820"/>
            <wp:effectExtent l="0" t="0" r="13970" b="254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52D19">
      <w:pPr>
        <w:ind w:left="0" w:leftChars="0" w:firstLine="0" w:firstLineChars="0"/>
        <w:jc w:val="both"/>
      </w:pPr>
      <w:r>
        <w:drawing>
          <wp:inline distT="0" distB="0" distL="114300" distR="114300">
            <wp:extent cx="6182995" cy="3302635"/>
            <wp:effectExtent l="0" t="0" r="4445" b="4445"/>
            <wp:docPr id="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F43B5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</w:t>
      </w:r>
      <w:r>
        <w:drawing>
          <wp:inline distT="0" distB="0" distL="114300" distR="114300">
            <wp:extent cx="381000" cy="396240"/>
            <wp:effectExtent l="0" t="0" r="0" b="0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”按钮，在弹出的“请输入密码”页面输入框内，输入CA证书的密码，点击“确定”按钮。</w:t>
      </w:r>
    </w:p>
    <w:p w14:paraId="30C71EDC">
      <w:pPr>
        <w:ind w:left="0" w:leftChars="0" w:firstLine="0" w:firstLineChars="0"/>
        <w:jc w:val="center"/>
      </w:pPr>
      <w:r>
        <w:drawing>
          <wp:inline distT="0" distB="0" distL="114300" distR="114300">
            <wp:extent cx="6184265" cy="3242945"/>
            <wp:effectExtent l="0" t="0" r="3175" b="3175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04B1"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选择签章名称，根据实际需要选择加盖的章类型，点击“确认”按钮</w:t>
      </w:r>
    </w:p>
    <w:p w14:paraId="5C84EAE8">
      <w:pPr>
        <w:ind w:left="0" w:leftChars="0" w:firstLine="0" w:firstLineChars="0"/>
        <w:jc w:val="center"/>
      </w:pPr>
      <w:r>
        <w:drawing>
          <wp:inline distT="0" distB="0" distL="114300" distR="114300">
            <wp:extent cx="6183630" cy="3125470"/>
            <wp:effectExtent l="0" t="0" r="3810" b="13970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B607D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鼠标拖动电子章图片，放置到需要签章的位置，点击鼠标左建，完成电子签章</w:t>
      </w:r>
    </w:p>
    <w:p w14:paraId="7C2AF68E">
      <w:pPr>
        <w:ind w:left="0" w:leftChars="0" w:firstLine="0" w:firstLineChars="0"/>
        <w:jc w:val="center"/>
      </w:pPr>
      <w:r>
        <w:drawing>
          <wp:inline distT="0" distB="0" distL="114300" distR="114300">
            <wp:extent cx="6181725" cy="2915920"/>
            <wp:effectExtent l="0" t="0" r="5715" b="10160"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006DD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注：若使用“手机扫码签章”则点击“</w:t>
      </w:r>
      <w:r>
        <w:drawing>
          <wp:inline distT="0" distB="0" distL="114300" distR="114300">
            <wp:extent cx="381000" cy="396240"/>
            <wp:effectExtent l="0" t="0" r="0" b="0"/>
            <wp:docPr id="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”按钮后，需使用已注册好的移动数字证书（标证通）进行扫码签章，签章操作步骤和实体CA证书签章一致；</w:t>
      </w:r>
    </w:p>
    <w:p w14:paraId="147E03C5">
      <w:pPr>
        <w:ind w:left="0" w:leftChars="0" w:firstLine="0" w:firstLineChars="0"/>
        <w:rPr>
          <w:rFonts w:hint="eastAsia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上传材料前请先查看样例，PDF纸张大小：标准A4纸张（21厘米*29.7厘米）</w:t>
      </w:r>
    </w:p>
    <w:p w14:paraId="6B889CB8">
      <w:pPr>
        <w:ind w:left="0" w:leftChars="0" w:firstLine="0" w:firstLineChars="0"/>
      </w:pPr>
      <w:r>
        <w:rPr>
          <w:rFonts w:hint="default" w:eastAsia="宋体"/>
          <w:lang w:val="en-US" w:eastAsia="zh-CN"/>
        </w:rPr>
        <w:object>
          <v:shape id="_x0000_i1025" o:spt="75" type="#_x0000_t75" style="height:65.4pt;width:72.6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Package" ShapeID="_x0000_i1025" DrawAspect="Icon" ObjectID="_1468075725" r:id="rId27">
            <o:LockedField>false</o:LockedField>
          </o:OLEObject>
        </w:object>
      </w:r>
    </w:p>
    <w:p w14:paraId="562946E4">
      <w:pPr>
        <w:pStyle w:val="3"/>
        <w:bidi w:val="0"/>
        <w:rPr>
          <w:rFonts w:hint="default"/>
          <w:lang w:val="en-US" w:eastAsia="zh-CN"/>
        </w:rPr>
      </w:pPr>
      <w:bookmarkStart w:id="3" w:name="_Toc11979"/>
      <w:r>
        <w:rPr>
          <w:rFonts w:hint="eastAsia"/>
          <w:lang w:val="en-US" w:eastAsia="zh-CN"/>
        </w:rPr>
        <w:t>挂牌期网络竞价</w:t>
      </w:r>
      <w:bookmarkEnd w:id="3"/>
    </w:p>
    <w:p w14:paraId="3386BEC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按照公告中的时间去参与挂牌期报价</w:t>
      </w:r>
    </w:p>
    <w:p w14:paraId="2A9ABA0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第一步：进入竞价页面</w:t>
      </w:r>
    </w:p>
    <w:p w14:paraId="2BA378F7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如下图所示，找到“我的项目”后选择“产权”交易模块，查找对应已报名且资格审核通过，领取到竞买资格确认书的项目，点击“我要报价”；</w:t>
      </w:r>
    </w:p>
    <w:p w14:paraId="457E362B">
      <w:pPr>
        <w:ind w:left="0" w:leftChars="0" w:firstLine="0" w:firstLineChars="0"/>
        <w:jc w:val="center"/>
      </w:pPr>
      <w:r>
        <w:drawing>
          <wp:inline distT="0" distB="0" distL="114300" distR="114300">
            <wp:extent cx="6178550" cy="2656840"/>
            <wp:effectExtent l="0" t="0" r="6350" b="10160"/>
            <wp:docPr id="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1D185"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仔细阅读《电子竞价风险告知及接手确认书》，并对上述内容明确，若有异议，则点击【不同意】，放弃电子竞价；若无意见，则点击勾选“我已看过，并同意《电子竞价风险告知确认书》”，点击【同意】按钮。</w:t>
      </w:r>
    </w:p>
    <w:p w14:paraId="6F49ADFA">
      <w:pPr>
        <w:ind w:left="0" w:leftChars="0" w:firstLine="0" w:firstLineChars="0"/>
        <w:jc w:val="center"/>
      </w:pPr>
      <w:r>
        <w:drawing>
          <wp:inline distT="0" distB="0" distL="114300" distR="114300">
            <wp:extent cx="6181090" cy="3543935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A96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上述点击【同意】后，进入到网上电子竞价系统</w:t>
      </w:r>
    </w:p>
    <w:p w14:paraId="53DF048D">
      <w:pPr>
        <w:ind w:left="0" w:leftChars="0" w:firstLine="0" w:firstLineChars="0"/>
        <w:jc w:val="center"/>
      </w:pPr>
      <w:r>
        <w:drawing>
          <wp:inline distT="0" distB="0" distL="114300" distR="114300">
            <wp:extent cx="6180455" cy="3006090"/>
            <wp:effectExtent l="0" t="0" r="6985" b="11430"/>
            <wp:docPr id="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8010A">
      <w:p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第二步：在线报价</w:t>
      </w:r>
    </w:p>
    <w:p w14:paraId="566934F6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如上图所示，进入到竞价页面后，可查看当前最高报价，竞价倒计时等内容，若需要报价，则点击对应的倍数（</w:t>
      </w:r>
      <w:r>
        <w:rPr>
          <w:rFonts w:hint="eastAsia"/>
          <w:color w:val="FF0000"/>
          <w:lang w:val="en-US" w:eastAsia="zh-CN"/>
        </w:rPr>
        <w:t>此处的倍数，为增价幅度的整倍数</w:t>
      </w:r>
      <w:r>
        <w:rPr>
          <w:rFonts w:hint="eastAsia"/>
          <w:lang w:val="en-US" w:eastAsia="zh-CN"/>
        </w:rPr>
        <w:t>）</w:t>
      </w:r>
    </w:p>
    <w:p w14:paraId="261FCABE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例：</w:t>
      </w:r>
      <w:r>
        <w:rPr>
          <w:rFonts w:hint="eastAsia"/>
          <w:lang w:val="en-US" w:eastAsia="zh-CN"/>
        </w:rPr>
        <w:t>如下图所示，当前报价为636万元，增价幅度为5万，当选择“2倍”时，则表示报价为5万*2倍=10万，即报价为“636+10万”</w:t>
      </w:r>
    </w:p>
    <w:p w14:paraId="2DB2FD7D">
      <w:pPr>
        <w:ind w:left="0" w:leftChars="0" w:firstLine="0" w:firstLineChars="0"/>
        <w:jc w:val="center"/>
      </w:pPr>
      <w:r>
        <w:drawing>
          <wp:inline distT="0" distB="0" distL="114300" distR="114300">
            <wp:extent cx="6187440" cy="3657600"/>
            <wp:effectExtent l="0" t="0" r="0" b="0"/>
            <wp:docPr id="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F37A7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选择欲报价的增价倍数后，点击</w:t>
      </w:r>
      <w:r>
        <w:drawing>
          <wp:inline distT="0" distB="0" distL="114300" distR="114300">
            <wp:extent cx="937260" cy="325120"/>
            <wp:effectExtent l="0" t="0" r="7620" b="10160"/>
            <wp:docPr id="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按钮，完成报价</w:t>
      </w:r>
    </w:p>
    <w:p w14:paraId="70253468">
      <w:pPr>
        <w:ind w:left="0" w:leftChars="0" w:firstLine="0" w:firstLineChars="0"/>
        <w:jc w:val="both"/>
      </w:pPr>
      <w:r>
        <w:drawing>
          <wp:inline distT="0" distB="0" distL="114300" distR="114300">
            <wp:extent cx="6187440" cy="3788410"/>
            <wp:effectExtent l="0" t="0" r="0" b="6350"/>
            <wp:docPr id="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9A72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报价完成后，竞价系统即可显示当前最新的最高报价</w:t>
      </w:r>
    </w:p>
    <w:p w14:paraId="7997628B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182995" cy="3796030"/>
            <wp:effectExtent l="0" t="0" r="4445" b="13970"/>
            <wp:docPr id="7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6EA5F">
      <w:pPr>
        <w:pStyle w:val="3"/>
        <w:bidi w:val="0"/>
        <w:rPr>
          <w:rFonts w:hint="default"/>
          <w:lang w:val="en-US" w:eastAsia="zh-CN"/>
        </w:rPr>
      </w:pPr>
      <w:bookmarkStart w:id="4" w:name="_Toc19667"/>
      <w:r>
        <w:rPr>
          <w:rFonts w:hint="eastAsia"/>
          <w:lang w:val="en-US" w:eastAsia="zh-CN"/>
        </w:rPr>
        <w:t>延时竞价</w:t>
      </w:r>
      <w:bookmarkEnd w:id="4"/>
    </w:p>
    <w:p w14:paraId="3E571A7B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第一步：确认或放弃继续延时竞价</w:t>
      </w:r>
    </w:p>
    <w:p w14:paraId="6EC46FD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当挂牌期满时，系统会自动进入询问期</w:t>
      </w:r>
    </w:p>
    <w:p w14:paraId="02214C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若需要继续竞价，则</w:t>
      </w:r>
      <w:r>
        <w:rPr>
          <w:rFonts w:hint="eastAsia"/>
          <w:b/>
          <w:bCs/>
          <w:lang w:val="en-US" w:eastAsia="zh-CN"/>
        </w:rPr>
        <w:t>必须点击【参加】</w:t>
      </w:r>
      <w:r>
        <w:rPr>
          <w:rFonts w:hint="eastAsia"/>
          <w:lang w:val="en-US" w:eastAsia="zh-CN"/>
        </w:rPr>
        <w:t>按钮后，确认参与延时竞价，再根据产权挂牌公告中公布的演示竞价时间和地点要求，参与延时竞价或现场竞价。</w:t>
      </w:r>
    </w:p>
    <w:p w14:paraId="2F3ACCDB"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注：若产权挂牌公告中要求组织现场竞价，则愿意继续竞买的单位按照公告要求来现场参与竞价；若产权挂牌公告中要求组织线上延时竞价，则愿意继续竞买的单位，按照公告时间，在线登录系统参与延时竞价。</w:t>
      </w:r>
    </w:p>
    <w:p w14:paraId="43E34BA9">
      <w:pPr>
        <w:ind w:left="0" w:leftChars="0" w:firstLine="0" w:firstLineChars="0"/>
        <w:jc w:val="center"/>
      </w:pPr>
      <w:r>
        <w:drawing>
          <wp:inline distT="0" distB="0" distL="114300" distR="114300">
            <wp:extent cx="6184265" cy="3550285"/>
            <wp:effectExtent l="0" t="0" r="3175" b="635"/>
            <wp:docPr id="7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65903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第二步：延时竞价报价</w:t>
      </w:r>
      <w:r>
        <w:rPr>
          <w:rFonts w:hint="eastAsia"/>
          <w:lang w:val="en-US" w:eastAsia="zh-CN"/>
        </w:rPr>
        <w:t>（</w:t>
      </w:r>
      <w:r>
        <w:rPr>
          <w:rFonts w:hint="eastAsia"/>
          <w:color w:val="FF0000"/>
          <w:lang w:val="en-US" w:eastAsia="zh-CN"/>
        </w:rPr>
        <w:t>此第二步操作仅针对线上网络延时竞价，现场竞价的要按照公告要求，来现场参与报价</w:t>
      </w:r>
      <w:r>
        <w:rPr>
          <w:rFonts w:hint="eastAsia"/>
          <w:lang w:val="en-US" w:eastAsia="zh-CN"/>
        </w:rPr>
        <w:t>）</w:t>
      </w:r>
    </w:p>
    <w:p w14:paraId="3561877C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到了公告中公布的延时竞价时间后，和上述挂牌期的网络竞价一样，登录系统，找到项目，进入网络竞价系统；</w:t>
      </w:r>
    </w:p>
    <w:p w14:paraId="10FE3801">
      <w:pPr>
        <w:ind w:left="0" w:leftChars="0" w:firstLine="0" w:firstLineChars="0"/>
        <w:jc w:val="center"/>
      </w:pPr>
      <w:r>
        <w:drawing>
          <wp:inline distT="0" distB="0" distL="114300" distR="114300">
            <wp:extent cx="6184265" cy="3799205"/>
            <wp:effectExtent l="0" t="0" r="3175" b="10795"/>
            <wp:docPr id="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0391B"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根据实际情况进行报价，在当前一轮延时竞价期，若有单位报价，则系统自动进入下一轮延时竞价期，如此循环；直至在其中一个延时竞价期无单位继续报价，则演示竞价结束；</w:t>
      </w:r>
    </w:p>
    <w:p w14:paraId="584CB7C2">
      <w:pPr>
        <w:pStyle w:val="3"/>
        <w:bidi w:val="0"/>
        <w:rPr>
          <w:rFonts w:hint="default"/>
          <w:lang w:val="en-US" w:eastAsia="zh-CN"/>
        </w:rPr>
      </w:pPr>
      <w:bookmarkStart w:id="5" w:name="_Toc27902"/>
      <w:r>
        <w:rPr>
          <w:rFonts w:hint="eastAsia"/>
          <w:lang w:val="en-US" w:eastAsia="zh-CN"/>
        </w:rPr>
        <w:t>产权成交</w:t>
      </w:r>
      <w:bookmarkEnd w:id="5"/>
    </w:p>
    <w:p w14:paraId="174DB7F4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第一步：系统自动确定成交</w:t>
      </w:r>
    </w:p>
    <w:p w14:paraId="7A5BF5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延时竞价期间，若在其中一个延时竞价期无单位报价，则延时竞价结束，以演示竞价期的最高报价为最终成交单位。</w:t>
      </w:r>
    </w:p>
    <w:p w14:paraId="34F88784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188710" cy="3905250"/>
            <wp:effectExtent l="0" t="0" r="13970" b="11430"/>
            <wp:docPr id="7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454" w:footer="680" w:gutter="0"/>
      <w:pgNumType w:start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03BE4">
    <w:pPr>
      <w:pStyle w:val="26"/>
      <w:pBdr>
        <w:top w:val="single" w:color="9BBB59" w:sz="24" w:space="5"/>
      </w:pBdr>
      <w:wordWrap w:val="0"/>
      <w:spacing w:line="240" w:lineRule="auto"/>
      <w:ind w:firstLine="360"/>
      <w:jc w:val="right"/>
      <w:rPr>
        <w:lang w:val="zh-CN"/>
      </w:rPr>
    </w:pPr>
    <w:r>
      <w:rPr>
        <w:rFonts w:hint="eastAsia"/>
        <w:lang w:val="zh-CN"/>
      </w:rPr>
      <w:t xml:space="preserve">                  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rPr>
        <w:lang w:val="zh-CN"/>
      </w:rPr>
      <w:t>/</w:t>
    </w:r>
    <w:r>
      <w:rPr>
        <w:rFonts w:hint="eastAsia"/>
      </w:rPr>
      <w:t>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3E882">
    <w:pPr>
      <w:pStyle w:val="2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8F0A3">
    <w:pPr>
      <w:pStyle w:val="2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4D12C">
    <w:pPr>
      <w:pStyle w:val="27"/>
      <w:pBdr>
        <w:bottom w:val="thickThinSmallGap" w:color="622423" w:sz="24" w:space="1"/>
      </w:pBdr>
      <w:spacing w:line="240" w:lineRule="auto"/>
      <w:ind w:firstLine="0" w:firstLineChars="0"/>
      <w:jc w:val="left"/>
    </w:pPr>
    <w:r>
      <w:rPr>
        <w:rFonts w:hint="eastAsia" w:ascii="宋体" w:hAnsi="宋体"/>
      </w:rPr>
      <w:t>产权交易电子竞价</w:t>
    </w:r>
    <w:r>
      <w:rPr>
        <w:rFonts w:hint="eastAsia" w:ascii="Cambria" w:hAnsi="Cambria"/>
      </w:rPr>
      <w:t xml:space="preserve">操作手册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7B449">
    <w:pPr>
      <w:pStyle w:val="2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A20E0">
    <w:pPr>
      <w:pStyle w:val="2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4AFCB1"/>
    <w:multiLevelType w:val="singleLevel"/>
    <w:tmpl w:val="D04AFCB1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142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142" w:firstLine="0"/>
      </w:pPr>
      <w:rPr>
        <w:rFonts w:hint="default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284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993" w:hanging="851"/>
      </w:pPr>
      <w:rPr>
        <w:rFonts w:hint="default" w:ascii="Times New Roman" w:hAnsi="Times New Roman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1134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276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942"/>
        </w:tabs>
        <w:ind w:left="1418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942"/>
        </w:tabs>
        <w:ind w:left="1560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302"/>
        </w:tabs>
        <w:ind w:left="1701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5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kN2NmOGU1NWZiNGE4MTMyYmE0ZGU4MmVhOWVmMjEifQ=="/>
  </w:docVars>
  <w:rsids>
    <w:rsidRoot w:val="006320A1"/>
    <w:rsid w:val="0001467A"/>
    <w:rsid w:val="00016B58"/>
    <w:rsid w:val="00056715"/>
    <w:rsid w:val="00065350"/>
    <w:rsid w:val="000764E9"/>
    <w:rsid w:val="000A23A7"/>
    <w:rsid w:val="000D2549"/>
    <w:rsid w:val="000D2C6D"/>
    <w:rsid w:val="000E2D7D"/>
    <w:rsid w:val="0013537C"/>
    <w:rsid w:val="00141796"/>
    <w:rsid w:val="001440C2"/>
    <w:rsid w:val="00151D02"/>
    <w:rsid w:val="0016455E"/>
    <w:rsid w:val="0017706A"/>
    <w:rsid w:val="0017711F"/>
    <w:rsid w:val="0019173E"/>
    <w:rsid w:val="001C5E88"/>
    <w:rsid w:val="001F66B7"/>
    <w:rsid w:val="00217FF2"/>
    <w:rsid w:val="00243EE1"/>
    <w:rsid w:val="0024711A"/>
    <w:rsid w:val="00271930"/>
    <w:rsid w:val="00280C59"/>
    <w:rsid w:val="00282935"/>
    <w:rsid w:val="00282C82"/>
    <w:rsid w:val="002A1AB8"/>
    <w:rsid w:val="002B3369"/>
    <w:rsid w:val="002D1483"/>
    <w:rsid w:val="002D2C09"/>
    <w:rsid w:val="002E2A41"/>
    <w:rsid w:val="00332C77"/>
    <w:rsid w:val="00336A71"/>
    <w:rsid w:val="003D4DF3"/>
    <w:rsid w:val="003E5EC8"/>
    <w:rsid w:val="003E62CC"/>
    <w:rsid w:val="00437DCB"/>
    <w:rsid w:val="00450DBA"/>
    <w:rsid w:val="004532EC"/>
    <w:rsid w:val="004A28BA"/>
    <w:rsid w:val="004F3C5D"/>
    <w:rsid w:val="004F55E1"/>
    <w:rsid w:val="00532635"/>
    <w:rsid w:val="005331CC"/>
    <w:rsid w:val="0053570D"/>
    <w:rsid w:val="005734C0"/>
    <w:rsid w:val="00597CA0"/>
    <w:rsid w:val="005A15D9"/>
    <w:rsid w:val="005A4EE5"/>
    <w:rsid w:val="005A798F"/>
    <w:rsid w:val="005D6982"/>
    <w:rsid w:val="005F4C5C"/>
    <w:rsid w:val="00602B4A"/>
    <w:rsid w:val="00617B46"/>
    <w:rsid w:val="006320A1"/>
    <w:rsid w:val="00647565"/>
    <w:rsid w:val="00647C7F"/>
    <w:rsid w:val="0068641B"/>
    <w:rsid w:val="006B77D5"/>
    <w:rsid w:val="006D0CFB"/>
    <w:rsid w:val="006D673A"/>
    <w:rsid w:val="006F6AE2"/>
    <w:rsid w:val="00713B8C"/>
    <w:rsid w:val="00734774"/>
    <w:rsid w:val="007421D4"/>
    <w:rsid w:val="00753DEA"/>
    <w:rsid w:val="00766CED"/>
    <w:rsid w:val="007722CB"/>
    <w:rsid w:val="007C2C74"/>
    <w:rsid w:val="007E290A"/>
    <w:rsid w:val="00805132"/>
    <w:rsid w:val="00807142"/>
    <w:rsid w:val="008140BF"/>
    <w:rsid w:val="0082248D"/>
    <w:rsid w:val="00822F9F"/>
    <w:rsid w:val="008540AE"/>
    <w:rsid w:val="00874718"/>
    <w:rsid w:val="008750E4"/>
    <w:rsid w:val="008A3255"/>
    <w:rsid w:val="008E6373"/>
    <w:rsid w:val="008F37DD"/>
    <w:rsid w:val="00920E9E"/>
    <w:rsid w:val="0092587E"/>
    <w:rsid w:val="00933F3F"/>
    <w:rsid w:val="00944E44"/>
    <w:rsid w:val="00947B89"/>
    <w:rsid w:val="00947F5E"/>
    <w:rsid w:val="00951A25"/>
    <w:rsid w:val="0098631F"/>
    <w:rsid w:val="00A05AF4"/>
    <w:rsid w:val="00A14BEE"/>
    <w:rsid w:val="00A53B32"/>
    <w:rsid w:val="00A669EF"/>
    <w:rsid w:val="00AA5796"/>
    <w:rsid w:val="00AB6953"/>
    <w:rsid w:val="00AC6412"/>
    <w:rsid w:val="00AE6946"/>
    <w:rsid w:val="00B01C45"/>
    <w:rsid w:val="00B64BB3"/>
    <w:rsid w:val="00B71DBB"/>
    <w:rsid w:val="00B76EC1"/>
    <w:rsid w:val="00B92A69"/>
    <w:rsid w:val="00BB3EA3"/>
    <w:rsid w:val="00BE05B9"/>
    <w:rsid w:val="00BE1539"/>
    <w:rsid w:val="00C069C6"/>
    <w:rsid w:val="00C122FC"/>
    <w:rsid w:val="00C17CAB"/>
    <w:rsid w:val="00C2487D"/>
    <w:rsid w:val="00C27395"/>
    <w:rsid w:val="00C62768"/>
    <w:rsid w:val="00C634A4"/>
    <w:rsid w:val="00C636AA"/>
    <w:rsid w:val="00CE3A9B"/>
    <w:rsid w:val="00CE480B"/>
    <w:rsid w:val="00CF2372"/>
    <w:rsid w:val="00D21EA2"/>
    <w:rsid w:val="00D235E5"/>
    <w:rsid w:val="00D25FF9"/>
    <w:rsid w:val="00D516DE"/>
    <w:rsid w:val="00D57133"/>
    <w:rsid w:val="00D62938"/>
    <w:rsid w:val="00D8591B"/>
    <w:rsid w:val="00DC032B"/>
    <w:rsid w:val="00DE4D03"/>
    <w:rsid w:val="00E00691"/>
    <w:rsid w:val="00E80DE5"/>
    <w:rsid w:val="00EB24FF"/>
    <w:rsid w:val="00ED2680"/>
    <w:rsid w:val="00F435BE"/>
    <w:rsid w:val="00F44B83"/>
    <w:rsid w:val="00F45FEF"/>
    <w:rsid w:val="00F477E8"/>
    <w:rsid w:val="00F5761E"/>
    <w:rsid w:val="00F639AC"/>
    <w:rsid w:val="00F95607"/>
    <w:rsid w:val="014A629B"/>
    <w:rsid w:val="03362040"/>
    <w:rsid w:val="07476577"/>
    <w:rsid w:val="08371D6D"/>
    <w:rsid w:val="09CA434A"/>
    <w:rsid w:val="0DAC4135"/>
    <w:rsid w:val="0E3A358C"/>
    <w:rsid w:val="0FA95721"/>
    <w:rsid w:val="102113A7"/>
    <w:rsid w:val="110B7333"/>
    <w:rsid w:val="12D270D2"/>
    <w:rsid w:val="14445DAD"/>
    <w:rsid w:val="146C4BA8"/>
    <w:rsid w:val="1AB538EA"/>
    <w:rsid w:val="203B285A"/>
    <w:rsid w:val="207E27A5"/>
    <w:rsid w:val="21D06ED2"/>
    <w:rsid w:val="23621E21"/>
    <w:rsid w:val="24D202C4"/>
    <w:rsid w:val="26BD5C77"/>
    <w:rsid w:val="291C1880"/>
    <w:rsid w:val="2C1B332A"/>
    <w:rsid w:val="2CED44E4"/>
    <w:rsid w:val="3877491C"/>
    <w:rsid w:val="39A71043"/>
    <w:rsid w:val="3B732951"/>
    <w:rsid w:val="3C6D4ED5"/>
    <w:rsid w:val="3D3C724A"/>
    <w:rsid w:val="3D4B53C3"/>
    <w:rsid w:val="3D6D63E0"/>
    <w:rsid w:val="3FE23E7A"/>
    <w:rsid w:val="44E73A68"/>
    <w:rsid w:val="4750200C"/>
    <w:rsid w:val="487676B9"/>
    <w:rsid w:val="48C20300"/>
    <w:rsid w:val="49DC449C"/>
    <w:rsid w:val="4A197D0D"/>
    <w:rsid w:val="4C310EC5"/>
    <w:rsid w:val="4F344A6F"/>
    <w:rsid w:val="4F8E169B"/>
    <w:rsid w:val="4FDE1CCE"/>
    <w:rsid w:val="53DE0AEA"/>
    <w:rsid w:val="569C37CC"/>
    <w:rsid w:val="5936598B"/>
    <w:rsid w:val="5B91540B"/>
    <w:rsid w:val="5DCB071E"/>
    <w:rsid w:val="5FA560A1"/>
    <w:rsid w:val="64547E49"/>
    <w:rsid w:val="667444A2"/>
    <w:rsid w:val="68991302"/>
    <w:rsid w:val="6A8E035E"/>
    <w:rsid w:val="6ADD205C"/>
    <w:rsid w:val="6B0449F7"/>
    <w:rsid w:val="700B6D53"/>
    <w:rsid w:val="711C2B67"/>
    <w:rsid w:val="79273E57"/>
    <w:rsid w:val="7A2B3E1B"/>
    <w:rsid w:val="7AF64429"/>
    <w:rsid w:val="7CDF48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qFormat="1" w:unhideWhenUsed="0" w:uiPriority="0" w:semiHidden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0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94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95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left="142"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104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="0" w:firstLineChars="0"/>
      <w:outlineLvl w:val="3"/>
    </w:pPr>
    <w:rPr>
      <w:rFonts w:hAnsi="Arial"/>
      <w:b/>
      <w:bCs/>
      <w:sz w:val="24"/>
      <w:szCs w:val="28"/>
    </w:rPr>
  </w:style>
  <w:style w:type="paragraph" w:styleId="6">
    <w:name w:val="heading 5"/>
    <w:basedOn w:val="1"/>
    <w:next w:val="1"/>
    <w:link w:val="83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6"/>
    <w:next w:val="1"/>
    <w:link w:val="85"/>
    <w:qFormat/>
    <w:uiPriority w:val="0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8">
    <w:name w:val="heading 7"/>
    <w:basedOn w:val="7"/>
    <w:next w:val="1"/>
    <w:link w:val="87"/>
    <w:autoRedefine/>
    <w:qFormat/>
    <w:uiPriority w:val="0"/>
    <w:pPr>
      <w:tabs>
        <w:tab w:val="left" w:pos="1800"/>
        <w:tab w:val="clear" w:pos="1440"/>
      </w:tabs>
      <w:outlineLvl w:val="6"/>
    </w:pPr>
  </w:style>
  <w:style w:type="paragraph" w:styleId="9">
    <w:name w:val="heading 8"/>
    <w:basedOn w:val="8"/>
    <w:next w:val="1"/>
    <w:link w:val="88"/>
    <w:autoRedefine/>
    <w:qFormat/>
    <w:uiPriority w:val="0"/>
    <w:pPr>
      <w:outlineLvl w:val="7"/>
    </w:pPr>
  </w:style>
  <w:style w:type="paragraph" w:styleId="10">
    <w:name w:val="heading 9"/>
    <w:basedOn w:val="9"/>
    <w:next w:val="1"/>
    <w:link w:val="90"/>
    <w:autoRedefine/>
    <w:qFormat/>
    <w:uiPriority w:val="0"/>
    <w:pPr>
      <w:tabs>
        <w:tab w:val="left" w:pos="2160"/>
        <w:tab w:val="clear" w:pos="1800"/>
      </w:tabs>
      <w:outlineLvl w:val="8"/>
    </w:pPr>
  </w:style>
  <w:style w:type="character" w:default="1" w:styleId="41">
    <w:name w:val="Default Paragraph Font"/>
    <w:autoRedefine/>
    <w:semiHidden/>
    <w:unhideWhenUsed/>
    <w:qFormat/>
    <w:uiPriority w:val="1"/>
  </w:style>
  <w:style w:type="table" w:default="1" w:styleId="4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qFormat/>
    <w:uiPriority w:val="39"/>
    <w:pPr>
      <w:ind w:left="1260"/>
    </w:pPr>
    <w:rPr>
      <w:rFonts w:ascii="Calibri" w:hAnsi="Calibri" w:cs="Calibri"/>
      <w:sz w:val="18"/>
      <w:szCs w:val="18"/>
    </w:rPr>
  </w:style>
  <w:style w:type="paragraph" w:styleId="12">
    <w:name w:val="List Number 2"/>
    <w:basedOn w:val="1"/>
    <w:autoRedefine/>
    <w:qFormat/>
    <w:uiPriority w:val="0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13">
    <w:name w:val="Normal Indent"/>
    <w:basedOn w:val="1"/>
    <w:autoRedefine/>
    <w:qFormat/>
    <w:uiPriority w:val="0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14">
    <w:name w:val="Document Map"/>
    <w:basedOn w:val="1"/>
    <w:link w:val="106"/>
    <w:autoRedefine/>
    <w:qFormat/>
    <w:uiPriority w:val="0"/>
    <w:rPr>
      <w:rFonts w:ascii="宋体"/>
      <w:sz w:val="18"/>
      <w:szCs w:val="18"/>
    </w:rPr>
  </w:style>
  <w:style w:type="paragraph" w:styleId="15">
    <w:name w:val="annotation text"/>
    <w:basedOn w:val="1"/>
    <w:link w:val="98"/>
    <w:autoRedefine/>
    <w:qFormat/>
    <w:uiPriority w:val="0"/>
  </w:style>
  <w:style w:type="paragraph" w:styleId="16">
    <w:name w:val="Body Text 3"/>
    <w:basedOn w:val="1"/>
    <w:link w:val="108"/>
    <w:autoRedefine/>
    <w:qFormat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link w:val="102"/>
    <w:autoRedefine/>
    <w:qFormat/>
    <w:uiPriority w:val="0"/>
    <w:pPr>
      <w:spacing w:after="120"/>
    </w:pPr>
  </w:style>
  <w:style w:type="paragraph" w:styleId="18">
    <w:name w:val="Body Text Indent"/>
    <w:basedOn w:val="1"/>
    <w:link w:val="92"/>
    <w:autoRedefine/>
    <w:qFormat/>
    <w:uiPriority w:val="0"/>
    <w:pPr>
      <w:spacing w:after="120"/>
      <w:ind w:left="420" w:leftChars="200"/>
    </w:pPr>
  </w:style>
  <w:style w:type="paragraph" w:styleId="19">
    <w:name w:val="toc 5"/>
    <w:basedOn w:val="1"/>
    <w:next w:val="1"/>
    <w:autoRedefine/>
    <w:qFormat/>
    <w:uiPriority w:val="39"/>
    <w:pPr>
      <w:spacing w:line="240" w:lineRule="auto"/>
      <w:ind w:firstLine="800" w:firstLineChars="800"/>
    </w:pPr>
    <w:rPr>
      <w:rFonts w:cs="Calibri"/>
      <w:szCs w:val="18"/>
    </w:rPr>
  </w:style>
  <w:style w:type="paragraph" w:styleId="20">
    <w:name w:val="toc 3"/>
    <w:basedOn w:val="1"/>
    <w:next w:val="1"/>
    <w:autoRedefine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21">
    <w:name w:val="Plain Text"/>
    <w:basedOn w:val="1"/>
    <w:link w:val="93"/>
    <w:autoRedefine/>
    <w:qFormat/>
    <w:uiPriority w:val="0"/>
    <w:rPr>
      <w:rFonts w:ascii="宋体" w:hAnsi="Courier New"/>
    </w:rPr>
  </w:style>
  <w:style w:type="paragraph" w:styleId="22">
    <w:name w:val="toc 8"/>
    <w:basedOn w:val="1"/>
    <w:next w:val="1"/>
    <w:autoRedefine/>
    <w:qFormat/>
    <w:uiPriority w:val="39"/>
    <w:pPr>
      <w:ind w:left="1470"/>
    </w:pPr>
    <w:rPr>
      <w:rFonts w:ascii="Calibri" w:hAnsi="Calibri" w:cs="Calibri"/>
      <w:sz w:val="18"/>
      <w:szCs w:val="18"/>
    </w:rPr>
  </w:style>
  <w:style w:type="paragraph" w:styleId="23">
    <w:name w:val="Date"/>
    <w:basedOn w:val="1"/>
    <w:next w:val="1"/>
    <w:link w:val="111"/>
    <w:autoRedefine/>
    <w:qFormat/>
    <w:uiPriority w:val="0"/>
    <w:pPr>
      <w:ind w:left="100" w:leftChars="2500"/>
    </w:pPr>
  </w:style>
  <w:style w:type="paragraph" w:styleId="24">
    <w:name w:val="Body Text Indent 2"/>
    <w:basedOn w:val="1"/>
    <w:link w:val="89"/>
    <w:autoRedefine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97"/>
    <w:autoRedefine/>
    <w:qFormat/>
    <w:uiPriority w:val="0"/>
    <w:rPr>
      <w:sz w:val="18"/>
      <w:szCs w:val="18"/>
    </w:rPr>
  </w:style>
  <w:style w:type="paragraph" w:styleId="26">
    <w:name w:val="footer"/>
    <w:basedOn w:val="1"/>
    <w:link w:val="96"/>
    <w:autoRedefine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header"/>
    <w:basedOn w:val="1"/>
    <w:link w:val="8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autoRedefine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29">
    <w:name w:val="toc 4"/>
    <w:basedOn w:val="1"/>
    <w:next w:val="1"/>
    <w:autoRedefine/>
    <w:qFormat/>
    <w:uiPriority w:val="39"/>
    <w:pPr>
      <w:spacing w:line="240" w:lineRule="auto"/>
      <w:ind w:firstLine="600" w:firstLineChars="600"/>
    </w:pPr>
    <w:rPr>
      <w:rFonts w:cs="Calibri"/>
      <w:szCs w:val="18"/>
    </w:rPr>
  </w:style>
  <w:style w:type="paragraph" w:styleId="30">
    <w:name w:val="index heading"/>
    <w:basedOn w:val="1"/>
    <w:next w:val="31"/>
    <w:autoRedefine/>
    <w:qFormat/>
    <w:uiPriority w:val="0"/>
    <w:pPr>
      <w:spacing w:line="300" w:lineRule="auto"/>
    </w:pPr>
    <w:rPr>
      <w:rFonts w:eastAsia="楷体_GB2312"/>
      <w:sz w:val="24"/>
    </w:rPr>
  </w:style>
  <w:style w:type="paragraph" w:styleId="31">
    <w:name w:val="index 1"/>
    <w:basedOn w:val="1"/>
    <w:next w:val="1"/>
    <w:autoRedefine/>
    <w:qFormat/>
    <w:uiPriority w:val="0"/>
  </w:style>
  <w:style w:type="paragraph" w:styleId="32">
    <w:name w:val="toc 6"/>
    <w:basedOn w:val="1"/>
    <w:next w:val="1"/>
    <w:autoRedefine/>
    <w:qFormat/>
    <w:uiPriority w:val="39"/>
    <w:pPr>
      <w:ind w:left="1050"/>
    </w:pPr>
    <w:rPr>
      <w:rFonts w:ascii="Calibri" w:hAnsi="Calibri" w:cs="Calibri"/>
      <w:sz w:val="18"/>
      <w:szCs w:val="18"/>
    </w:rPr>
  </w:style>
  <w:style w:type="paragraph" w:styleId="33">
    <w:name w:val="Body Text Indent 3"/>
    <w:basedOn w:val="1"/>
    <w:link w:val="105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autoRedefine/>
    <w:qFormat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paragraph" w:styleId="35">
    <w:name w:val="toc 9"/>
    <w:basedOn w:val="1"/>
    <w:next w:val="1"/>
    <w:autoRedefine/>
    <w:qFormat/>
    <w:uiPriority w:val="39"/>
    <w:pPr>
      <w:ind w:left="1680"/>
    </w:pPr>
    <w:rPr>
      <w:rFonts w:ascii="Calibri" w:hAnsi="Calibri" w:cs="Calibri"/>
      <w:sz w:val="18"/>
      <w:szCs w:val="18"/>
    </w:rPr>
  </w:style>
  <w:style w:type="paragraph" w:styleId="36">
    <w:name w:val="Body Text 2"/>
    <w:basedOn w:val="1"/>
    <w:link w:val="109"/>
    <w:autoRedefine/>
    <w:qFormat/>
    <w:uiPriority w:val="0"/>
    <w:pPr>
      <w:spacing w:after="120" w:line="480" w:lineRule="auto"/>
    </w:pPr>
  </w:style>
  <w:style w:type="paragraph" w:styleId="37">
    <w:name w:val="Normal (Web)"/>
    <w:basedOn w:val="1"/>
    <w:autoRedefine/>
    <w:qFormat/>
    <w:uiPriority w:val="99"/>
    <w:pPr>
      <w:widowControl/>
      <w:spacing w:before="100" w:after="100"/>
    </w:pPr>
    <w:rPr>
      <w:rFonts w:hint="eastAsia" w:ascii="Arial Unicode MS" w:hAnsi="Arial Unicode MS" w:eastAsia="Arial Unicode MS"/>
      <w:kern w:val="0"/>
      <w:sz w:val="24"/>
    </w:rPr>
  </w:style>
  <w:style w:type="paragraph" w:styleId="38">
    <w:name w:val="Title"/>
    <w:basedOn w:val="1"/>
    <w:link w:val="86"/>
    <w:autoRedefine/>
    <w:qFormat/>
    <w:uiPriority w:val="0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9">
    <w:name w:val="Body Text First Indent"/>
    <w:basedOn w:val="17"/>
    <w:link w:val="101"/>
    <w:autoRedefine/>
    <w:qFormat/>
    <w:uiPriority w:val="0"/>
    <w:pPr>
      <w:ind w:firstLine="100" w:firstLineChars="100"/>
    </w:pPr>
  </w:style>
  <w:style w:type="character" w:styleId="42">
    <w:name w:val="Strong"/>
    <w:autoRedefine/>
    <w:qFormat/>
    <w:uiPriority w:val="0"/>
    <w:rPr>
      <w:b/>
      <w:bCs/>
    </w:rPr>
  </w:style>
  <w:style w:type="character" w:styleId="43">
    <w:name w:val="page number"/>
    <w:basedOn w:val="41"/>
    <w:autoRedefine/>
    <w:qFormat/>
    <w:uiPriority w:val="0"/>
  </w:style>
  <w:style w:type="character" w:styleId="44">
    <w:name w:val="FollowedHyperlink"/>
    <w:autoRedefine/>
    <w:qFormat/>
    <w:uiPriority w:val="0"/>
    <w:rPr>
      <w:color w:val="800080"/>
      <w:u w:val="single"/>
    </w:rPr>
  </w:style>
  <w:style w:type="character" w:styleId="45">
    <w:name w:val="Hyperlink"/>
    <w:autoRedefine/>
    <w:qFormat/>
    <w:uiPriority w:val="99"/>
    <w:rPr>
      <w:color w:val="0000FF"/>
      <w:u w:val="single"/>
    </w:rPr>
  </w:style>
  <w:style w:type="character" w:styleId="46">
    <w:name w:val="annotation reference"/>
    <w:autoRedefine/>
    <w:qFormat/>
    <w:uiPriority w:val="0"/>
    <w:rPr>
      <w:sz w:val="21"/>
      <w:szCs w:val="21"/>
    </w:rPr>
  </w:style>
  <w:style w:type="paragraph" w:customStyle="1" w:styleId="47">
    <w:name w:val="xl29"/>
    <w:basedOn w:val="1"/>
    <w:autoRedefine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48">
    <w:name w:val="正文无缩进"/>
    <w:basedOn w:val="1"/>
    <w:autoRedefine/>
    <w:qFormat/>
    <w:uiPriority w:val="0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49">
    <w:name w:val="段 Char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0">
    <w:name w:val="Char Char1"/>
    <w:basedOn w:val="1"/>
    <w:autoRedefine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51">
    <w:name w:val="4"/>
    <w:basedOn w:val="1"/>
    <w:autoRedefine/>
    <w:qFormat/>
    <w:uiPriority w:val="0"/>
    <w:pPr>
      <w:spacing w:line="300" w:lineRule="auto"/>
      <w:ind w:firstLine="480"/>
    </w:pPr>
    <w:rPr>
      <w:sz w:val="24"/>
      <w:szCs w:val="20"/>
    </w:rPr>
  </w:style>
  <w:style w:type="paragraph" w:customStyle="1" w:styleId="52">
    <w:name w:val="TOC 标题1"/>
    <w:basedOn w:val="2"/>
    <w:next w:val="1"/>
    <w:autoRedefine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53">
    <w:name w:val="Char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54">
    <w:name w:val="Char Char3 Char Char Char Char"/>
    <w:basedOn w:val="1"/>
    <w:autoRedefine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5">
    <w:name w:val="Char Char Char Char"/>
    <w:basedOn w:val="14"/>
    <w:autoRedefine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56">
    <w:name w:val="Indent Normal"/>
    <w:basedOn w:val="1"/>
    <w:autoRedefine/>
    <w:qFormat/>
    <w:uiPriority w:val="0"/>
    <w:pPr>
      <w:ind w:firstLine="150" w:firstLineChars="150"/>
    </w:pPr>
    <w:rPr>
      <w:sz w:val="24"/>
    </w:rPr>
  </w:style>
  <w:style w:type="paragraph" w:customStyle="1" w:styleId="57">
    <w:name w:val="助手文本"/>
    <w:basedOn w:val="1"/>
    <w:autoRedefine/>
    <w:qFormat/>
    <w:uiPriority w:val="0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58">
    <w:name w:val="样式1"/>
    <w:basedOn w:val="1"/>
    <w:link w:val="127"/>
    <w:autoRedefine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59">
    <w:name w:val="正文--表格内正文"/>
    <w:basedOn w:val="1"/>
    <w:autoRedefine/>
    <w:qFormat/>
    <w:uiPriority w:val="0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60">
    <w:name w:val="Char Char1 Char Char Char Char Char Char"/>
    <w:basedOn w:val="1"/>
    <w:autoRedefine/>
    <w:qFormat/>
    <w:uiPriority w:val="0"/>
    <w:pPr>
      <w:widowControl/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61">
    <w:name w:val="样式4 Char"/>
    <w:basedOn w:val="1"/>
    <w:autoRedefine/>
    <w:qFormat/>
    <w:uiPriority w:val="0"/>
    <w:pPr>
      <w:widowControl/>
      <w:ind w:firstLine="480"/>
    </w:pPr>
    <w:rPr>
      <w:color w:val="000000"/>
      <w:kern w:val="0"/>
      <w:sz w:val="24"/>
    </w:rPr>
  </w:style>
  <w:style w:type="paragraph" w:customStyle="1" w:styleId="62">
    <w:name w:val="列出段落1"/>
    <w:basedOn w:val="1"/>
    <w:autoRedefine/>
    <w:qFormat/>
    <w:uiPriority w:val="34"/>
  </w:style>
  <w:style w:type="paragraph" w:customStyle="1" w:styleId="63">
    <w:name w:val="paragraphindent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64">
    <w:name w:val="FA正文"/>
    <w:basedOn w:val="1"/>
    <w:link w:val="107"/>
    <w:qFormat/>
    <w:uiPriority w:val="0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paragraph" w:customStyle="1" w:styleId="65">
    <w:name w:val="14_black"/>
    <w:basedOn w:val="1"/>
    <w:autoRedefine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66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67">
    <w:name w:val="样式2"/>
    <w:basedOn w:val="1"/>
    <w:link w:val="113"/>
    <w:autoRedefine/>
    <w:qFormat/>
    <w:uiPriority w:val="0"/>
    <w:pPr>
      <w:spacing w:before="120" w:after="120"/>
      <w:outlineLvl w:val="1"/>
    </w:pPr>
    <w:rPr>
      <w:b/>
      <w:sz w:val="30"/>
    </w:rPr>
  </w:style>
  <w:style w:type="paragraph" w:customStyle="1" w:styleId="68">
    <w:name w:val="样式3"/>
    <w:basedOn w:val="27"/>
    <w:link w:val="114"/>
    <w:qFormat/>
    <w:uiPriority w:val="0"/>
    <w:pPr>
      <w:ind w:firstLine="360"/>
    </w:pPr>
  </w:style>
  <w:style w:type="paragraph" w:customStyle="1" w:styleId="69">
    <w:name w:val="样式4"/>
    <w:basedOn w:val="68"/>
    <w:link w:val="115"/>
    <w:qFormat/>
    <w:uiPriority w:val="0"/>
  </w:style>
  <w:style w:type="paragraph" w:customStyle="1" w:styleId="70">
    <w:name w:val="样式5"/>
    <w:basedOn w:val="27"/>
    <w:link w:val="116"/>
    <w:qFormat/>
    <w:uiPriority w:val="0"/>
    <w:pPr>
      <w:ind w:firstLine="360"/>
    </w:pPr>
  </w:style>
  <w:style w:type="paragraph" w:customStyle="1" w:styleId="71">
    <w:name w:val="样式6"/>
    <w:basedOn w:val="27"/>
    <w:link w:val="117"/>
    <w:qFormat/>
    <w:uiPriority w:val="0"/>
    <w:pPr>
      <w:ind w:firstLine="360"/>
    </w:pPr>
  </w:style>
  <w:style w:type="paragraph" w:customStyle="1" w:styleId="72">
    <w:name w:val="样式7"/>
    <w:basedOn w:val="4"/>
    <w:link w:val="118"/>
    <w:autoRedefine/>
    <w:qFormat/>
    <w:uiPriority w:val="0"/>
  </w:style>
  <w:style w:type="paragraph" w:customStyle="1" w:styleId="73">
    <w:name w:val="样式8"/>
    <w:basedOn w:val="26"/>
    <w:link w:val="119"/>
    <w:qFormat/>
    <w:uiPriority w:val="0"/>
    <w:pPr>
      <w:ind w:firstLine="0" w:firstLineChars="0"/>
      <w:jc w:val="left"/>
    </w:pPr>
  </w:style>
  <w:style w:type="paragraph" w:customStyle="1" w:styleId="74">
    <w:name w:val="样式9"/>
    <w:basedOn w:val="73"/>
    <w:link w:val="120"/>
    <w:autoRedefine/>
    <w:qFormat/>
    <w:uiPriority w:val="0"/>
    <w:pPr>
      <w:jc w:val="center"/>
    </w:pPr>
  </w:style>
  <w:style w:type="paragraph" w:customStyle="1" w:styleId="75">
    <w:name w:val="样式10"/>
    <w:basedOn w:val="74"/>
    <w:link w:val="121"/>
    <w:autoRedefine/>
    <w:qFormat/>
    <w:uiPriority w:val="0"/>
    <w:pPr>
      <w:pBdr>
        <w:top w:val="single" w:color="76923C" w:sz="24" w:space="1"/>
      </w:pBdr>
    </w:pPr>
  </w:style>
  <w:style w:type="paragraph" w:customStyle="1" w:styleId="76">
    <w:name w:val="样式11"/>
    <w:basedOn w:val="75"/>
    <w:link w:val="122"/>
    <w:qFormat/>
    <w:uiPriority w:val="0"/>
    <w:pPr>
      <w:pBdr>
        <w:top w:val="none" w:color="auto" w:sz="0" w:space="0"/>
      </w:pBdr>
    </w:pPr>
  </w:style>
  <w:style w:type="paragraph" w:customStyle="1" w:styleId="77">
    <w:name w:val="样式12"/>
    <w:basedOn w:val="76"/>
    <w:link w:val="123"/>
    <w:autoRedefine/>
    <w:qFormat/>
    <w:uiPriority w:val="0"/>
  </w:style>
  <w:style w:type="paragraph" w:customStyle="1" w:styleId="78">
    <w:name w:val="样式13"/>
    <w:basedOn w:val="72"/>
    <w:link w:val="124"/>
    <w:qFormat/>
    <w:uiPriority w:val="0"/>
  </w:style>
  <w:style w:type="paragraph" w:customStyle="1" w:styleId="79">
    <w:name w:val="2"/>
    <w:basedOn w:val="1"/>
    <w:link w:val="125"/>
    <w:autoRedefine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paragraph" w:customStyle="1" w:styleId="80">
    <w:name w:val="1"/>
    <w:basedOn w:val="1"/>
    <w:link w:val="126"/>
    <w:autoRedefine/>
    <w:qFormat/>
    <w:uiPriority w:val="0"/>
    <w:pPr>
      <w:ind w:firstLine="0" w:firstLineChars="0"/>
    </w:pPr>
  </w:style>
  <w:style w:type="paragraph" w:customStyle="1" w:styleId="81">
    <w:name w:val="飞越型"/>
    <w:autoRedefine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zh-CN" w:bidi="ar-SA"/>
    </w:rPr>
  </w:style>
  <w:style w:type="paragraph" w:customStyle="1" w:styleId="82">
    <w:name w:val="无间隔1"/>
    <w:qFormat/>
    <w:uiPriority w:val="1"/>
    <w:pPr>
      <w:widowControl w:val="0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3">
    <w:name w:val="标题 5 Char"/>
    <w:link w:val="6"/>
    <w:qFormat/>
    <w:uiPriority w:val="0"/>
    <w:rPr>
      <w:b/>
      <w:bCs/>
      <w:kern w:val="2"/>
      <w:sz w:val="28"/>
      <w:szCs w:val="28"/>
    </w:rPr>
  </w:style>
  <w:style w:type="character" w:customStyle="1" w:styleId="84">
    <w:name w:val="页眉 Char"/>
    <w:link w:val="27"/>
    <w:autoRedefine/>
    <w:qFormat/>
    <w:uiPriority w:val="99"/>
    <w:rPr>
      <w:kern w:val="2"/>
      <w:sz w:val="18"/>
      <w:szCs w:val="18"/>
    </w:rPr>
  </w:style>
  <w:style w:type="character" w:customStyle="1" w:styleId="85">
    <w:name w:val="标题 6 Char"/>
    <w:link w:val="7"/>
    <w:autoRedefine/>
    <w:qFormat/>
    <w:uiPriority w:val="0"/>
    <w:rPr>
      <w:b/>
      <w:bCs/>
      <w:kern w:val="2"/>
      <w:sz w:val="30"/>
      <w:szCs w:val="18"/>
    </w:rPr>
  </w:style>
  <w:style w:type="character" w:customStyle="1" w:styleId="86">
    <w:name w:val="标题 Char"/>
    <w:link w:val="38"/>
    <w:qFormat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87">
    <w:name w:val="标题 7 Char"/>
    <w:link w:val="8"/>
    <w:qFormat/>
    <w:uiPriority w:val="0"/>
    <w:rPr>
      <w:b/>
      <w:bCs/>
      <w:kern w:val="2"/>
      <w:sz w:val="30"/>
      <w:szCs w:val="18"/>
    </w:rPr>
  </w:style>
  <w:style w:type="character" w:customStyle="1" w:styleId="88">
    <w:name w:val="标题 8 Char"/>
    <w:link w:val="9"/>
    <w:autoRedefine/>
    <w:qFormat/>
    <w:uiPriority w:val="0"/>
    <w:rPr>
      <w:b/>
      <w:bCs/>
      <w:kern w:val="2"/>
      <w:sz w:val="30"/>
      <w:szCs w:val="18"/>
    </w:rPr>
  </w:style>
  <w:style w:type="character" w:customStyle="1" w:styleId="89">
    <w:name w:val="正文文本缩进 2 Char"/>
    <w:link w:val="24"/>
    <w:autoRedefine/>
    <w:qFormat/>
    <w:uiPriority w:val="0"/>
    <w:rPr>
      <w:kern w:val="2"/>
      <w:sz w:val="21"/>
      <w:szCs w:val="24"/>
    </w:rPr>
  </w:style>
  <w:style w:type="character" w:customStyle="1" w:styleId="90">
    <w:name w:val="标题 9 Char"/>
    <w:link w:val="10"/>
    <w:qFormat/>
    <w:uiPriority w:val="0"/>
    <w:rPr>
      <w:b/>
      <w:bCs/>
      <w:kern w:val="2"/>
      <w:sz w:val="30"/>
      <w:szCs w:val="18"/>
    </w:rPr>
  </w:style>
  <w:style w:type="character" w:customStyle="1" w:styleId="91">
    <w:name w:val="large1"/>
    <w:autoRedefine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92">
    <w:name w:val="正文文本缩进 Char"/>
    <w:link w:val="18"/>
    <w:autoRedefine/>
    <w:qFormat/>
    <w:uiPriority w:val="0"/>
    <w:rPr>
      <w:kern w:val="2"/>
      <w:sz w:val="21"/>
      <w:szCs w:val="24"/>
    </w:rPr>
  </w:style>
  <w:style w:type="character" w:customStyle="1" w:styleId="93">
    <w:name w:val="纯文本 Char"/>
    <w:link w:val="21"/>
    <w:qFormat/>
    <w:uiPriority w:val="0"/>
    <w:rPr>
      <w:rFonts w:ascii="宋体" w:hAnsi="Courier New"/>
      <w:kern w:val="2"/>
      <w:sz w:val="21"/>
    </w:rPr>
  </w:style>
  <w:style w:type="character" w:customStyle="1" w:styleId="94">
    <w:name w:val="标题 2 Char"/>
    <w:link w:val="3"/>
    <w:qFormat/>
    <w:uiPriority w:val="0"/>
    <w:rPr>
      <w:b/>
      <w:bCs/>
      <w:kern w:val="2"/>
      <w:sz w:val="30"/>
      <w:szCs w:val="32"/>
    </w:rPr>
  </w:style>
  <w:style w:type="character" w:customStyle="1" w:styleId="95">
    <w:name w:val="标题 3 Char"/>
    <w:link w:val="4"/>
    <w:autoRedefine/>
    <w:qFormat/>
    <w:uiPriority w:val="0"/>
    <w:rPr>
      <w:b/>
      <w:bCs/>
      <w:kern w:val="2"/>
      <w:sz w:val="28"/>
      <w:szCs w:val="18"/>
    </w:rPr>
  </w:style>
  <w:style w:type="character" w:customStyle="1" w:styleId="96">
    <w:name w:val="页脚 Char"/>
    <w:link w:val="26"/>
    <w:autoRedefine/>
    <w:qFormat/>
    <w:uiPriority w:val="99"/>
    <w:rPr>
      <w:kern w:val="2"/>
      <w:sz w:val="18"/>
      <w:szCs w:val="18"/>
    </w:rPr>
  </w:style>
  <w:style w:type="character" w:customStyle="1" w:styleId="97">
    <w:name w:val="批注框文本 Char"/>
    <w:link w:val="25"/>
    <w:autoRedefine/>
    <w:qFormat/>
    <w:uiPriority w:val="0"/>
    <w:rPr>
      <w:kern w:val="2"/>
      <w:sz w:val="18"/>
      <w:szCs w:val="18"/>
    </w:rPr>
  </w:style>
  <w:style w:type="character" w:customStyle="1" w:styleId="98">
    <w:name w:val="批注文字 Char"/>
    <w:link w:val="15"/>
    <w:qFormat/>
    <w:uiPriority w:val="0"/>
    <w:rPr>
      <w:kern w:val="2"/>
      <w:sz w:val="21"/>
      <w:szCs w:val="24"/>
    </w:rPr>
  </w:style>
  <w:style w:type="character" w:customStyle="1" w:styleId="99">
    <w:name w:val="14_black1"/>
    <w:qFormat/>
    <w:uiPriority w:val="0"/>
    <w:rPr>
      <w:color w:val="000000"/>
      <w:sz w:val="23"/>
      <w:szCs w:val="23"/>
    </w:rPr>
  </w:style>
  <w:style w:type="character" w:customStyle="1" w:styleId="100">
    <w:name w:val="标题 1 Char"/>
    <w:link w:val="2"/>
    <w:qFormat/>
    <w:uiPriority w:val="0"/>
    <w:rPr>
      <w:b/>
      <w:bCs/>
      <w:kern w:val="44"/>
      <w:sz w:val="32"/>
      <w:szCs w:val="28"/>
    </w:rPr>
  </w:style>
  <w:style w:type="character" w:customStyle="1" w:styleId="101">
    <w:name w:val="正文首行缩进 Char"/>
    <w:link w:val="39"/>
    <w:qFormat/>
    <w:uiPriority w:val="0"/>
    <w:rPr>
      <w:kern w:val="2"/>
      <w:sz w:val="21"/>
      <w:szCs w:val="24"/>
    </w:rPr>
  </w:style>
  <w:style w:type="character" w:customStyle="1" w:styleId="102">
    <w:name w:val="正文文本 Char"/>
    <w:link w:val="17"/>
    <w:qFormat/>
    <w:uiPriority w:val="0"/>
    <w:rPr>
      <w:kern w:val="2"/>
      <w:sz w:val="21"/>
      <w:szCs w:val="24"/>
    </w:rPr>
  </w:style>
  <w:style w:type="character" w:customStyle="1" w:styleId="103">
    <w:name w:val="f141"/>
    <w:autoRedefine/>
    <w:qFormat/>
    <w:uiPriority w:val="0"/>
    <w:rPr>
      <w:sz w:val="21"/>
      <w:szCs w:val="21"/>
    </w:rPr>
  </w:style>
  <w:style w:type="character" w:customStyle="1" w:styleId="104">
    <w:name w:val="标题 4 Char"/>
    <w:link w:val="5"/>
    <w:qFormat/>
    <w:uiPriority w:val="0"/>
    <w:rPr>
      <w:rFonts w:hAnsi="Arial"/>
      <w:b/>
      <w:bCs/>
      <w:kern w:val="2"/>
      <w:sz w:val="24"/>
      <w:szCs w:val="28"/>
    </w:rPr>
  </w:style>
  <w:style w:type="character" w:customStyle="1" w:styleId="105">
    <w:name w:val="正文文本缩进 3 Char"/>
    <w:link w:val="33"/>
    <w:qFormat/>
    <w:uiPriority w:val="0"/>
    <w:rPr>
      <w:kern w:val="2"/>
      <w:sz w:val="16"/>
      <w:szCs w:val="16"/>
    </w:rPr>
  </w:style>
  <w:style w:type="character" w:customStyle="1" w:styleId="106">
    <w:name w:val="文档结构图 Char"/>
    <w:link w:val="14"/>
    <w:qFormat/>
    <w:uiPriority w:val="0"/>
    <w:rPr>
      <w:rFonts w:ascii="宋体"/>
      <w:kern w:val="2"/>
      <w:sz w:val="18"/>
      <w:szCs w:val="18"/>
    </w:rPr>
  </w:style>
  <w:style w:type="character" w:customStyle="1" w:styleId="107">
    <w:name w:val="FA正文 Char"/>
    <w:link w:val="64"/>
    <w:qFormat/>
    <w:uiPriority w:val="0"/>
    <w:rPr>
      <w:rFonts w:ascii="宋体" w:hAnsi="宋体"/>
      <w:spacing w:val="10"/>
      <w:kern w:val="2"/>
      <w:sz w:val="24"/>
      <w:szCs w:val="24"/>
    </w:rPr>
  </w:style>
  <w:style w:type="character" w:customStyle="1" w:styleId="108">
    <w:name w:val="正文文本 3 Char"/>
    <w:link w:val="16"/>
    <w:qFormat/>
    <w:uiPriority w:val="0"/>
    <w:rPr>
      <w:kern w:val="2"/>
      <w:sz w:val="16"/>
      <w:szCs w:val="16"/>
    </w:rPr>
  </w:style>
  <w:style w:type="character" w:customStyle="1" w:styleId="109">
    <w:name w:val="正文文本 2 Char"/>
    <w:link w:val="36"/>
    <w:qFormat/>
    <w:uiPriority w:val="0"/>
    <w:rPr>
      <w:kern w:val="2"/>
      <w:sz w:val="21"/>
      <w:szCs w:val="24"/>
    </w:rPr>
  </w:style>
  <w:style w:type="character" w:customStyle="1" w:styleId="110">
    <w:name w:val="Indent Normal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1">
    <w:name w:val="日期 Char"/>
    <w:link w:val="23"/>
    <w:qFormat/>
    <w:uiPriority w:val="0"/>
    <w:rPr>
      <w:kern w:val="2"/>
      <w:sz w:val="21"/>
      <w:szCs w:val="24"/>
    </w:rPr>
  </w:style>
  <w:style w:type="character" w:customStyle="1" w:styleId="112">
    <w:name w:val="p11b1"/>
    <w:qFormat/>
    <w:uiPriority w:val="0"/>
    <w:rPr>
      <w:color w:val="000000"/>
      <w:spacing w:val="320"/>
      <w:sz w:val="20"/>
      <w:szCs w:val="20"/>
      <w:u w:val="none"/>
    </w:rPr>
  </w:style>
  <w:style w:type="character" w:customStyle="1" w:styleId="113">
    <w:name w:val="样式2 Char"/>
    <w:link w:val="67"/>
    <w:qFormat/>
    <w:uiPriority w:val="0"/>
    <w:rPr>
      <w:b/>
      <w:kern w:val="2"/>
      <w:sz w:val="30"/>
      <w:szCs w:val="24"/>
    </w:rPr>
  </w:style>
  <w:style w:type="character" w:customStyle="1" w:styleId="114">
    <w:name w:val="样式3 Char"/>
    <w:link w:val="68"/>
    <w:autoRedefine/>
    <w:qFormat/>
    <w:uiPriority w:val="0"/>
    <w:rPr>
      <w:kern w:val="2"/>
      <w:sz w:val="18"/>
      <w:szCs w:val="18"/>
    </w:rPr>
  </w:style>
  <w:style w:type="character" w:customStyle="1" w:styleId="115">
    <w:name w:val="样式4 Char1"/>
    <w:link w:val="69"/>
    <w:qFormat/>
    <w:uiPriority w:val="0"/>
    <w:rPr>
      <w:kern w:val="2"/>
      <w:sz w:val="18"/>
      <w:szCs w:val="18"/>
    </w:rPr>
  </w:style>
  <w:style w:type="character" w:customStyle="1" w:styleId="116">
    <w:name w:val="样式5 Char"/>
    <w:link w:val="70"/>
    <w:qFormat/>
    <w:uiPriority w:val="0"/>
    <w:rPr>
      <w:kern w:val="2"/>
      <w:sz w:val="18"/>
      <w:szCs w:val="18"/>
    </w:rPr>
  </w:style>
  <w:style w:type="character" w:customStyle="1" w:styleId="117">
    <w:name w:val="样式6 Char"/>
    <w:link w:val="71"/>
    <w:autoRedefine/>
    <w:qFormat/>
    <w:uiPriority w:val="0"/>
    <w:rPr>
      <w:kern w:val="2"/>
      <w:sz w:val="18"/>
      <w:szCs w:val="18"/>
    </w:rPr>
  </w:style>
  <w:style w:type="character" w:customStyle="1" w:styleId="118">
    <w:name w:val="样式7 Char"/>
    <w:link w:val="72"/>
    <w:autoRedefine/>
    <w:qFormat/>
    <w:uiPriority w:val="0"/>
    <w:rPr>
      <w:b/>
      <w:bCs/>
      <w:kern w:val="2"/>
      <w:sz w:val="28"/>
      <w:szCs w:val="18"/>
    </w:rPr>
  </w:style>
  <w:style w:type="character" w:customStyle="1" w:styleId="119">
    <w:name w:val="样式8 Char"/>
    <w:link w:val="73"/>
    <w:qFormat/>
    <w:uiPriority w:val="0"/>
    <w:rPr>
      <w:kern w:val="2"/>
      <w:sz w:val="18"/>
      <w:szCs w:val="18"/>
    </w:rPr>
  </w:style>
  <w:style w:type="character" w:customStyle="1" w:styleId="120">
    <w:name w:val="样式9 Char"/>
    <w:link w:val="74"/>
    <w:qFormat/>
    <w:uiPriority w:val="0"/>
    <w:rPr>
      <w:kern w:val="2"/>
      <w:sz w:val="18"/>
      <w:szCs w:val="18"/>
    </w:rPr>
  </w:style>
  <w:style w:type="character" w:customStyle="1" w:styleId="121">
    <w:name w:val="样式10 Char"/>
    <w:link w:val="75"/>
    <w:autoRedefine/>
    <w:qFormat/>
    <w:uiPriority w:val="0"/>
    <w:rPr>
      <w:kern w:val="2"/>
      <w:sz w:val="18"/>
      <w:szCs w:val="18"/>
    </w:rPr>
  </w:style>
  <w:style w:type="character" w:customStyle="1" w:styleId="122">
    <w:name w:val="样式11 Char"/>
    <w:link w:val="76"/>
    <w:autoRedefine/>
    <w:qFormat/>
    <w:uiPriority w:val="0"/>
    <w:rPr>
      <w:kern w:val="2"/>
      <w:sz w:val="18"/>
      <w:szCs w:val="18"/>
    </w:rPr>
  </w:style>
  <w:style w:type="character" w:customStyle="1" w:styleId="123">
    <w:name w:val="样式12 Char"/>
    <w:link w:val="77"/>
    <w:qFormat/>
    <w:uiPriority w:val="0"/>
    <w:rPr>
      <w:kern w:val="2"/>
      <w:sz w:val="18"/>
      <w:szCs w:val="18"/>
    </w:rPr>
  </w:style>
  <w:style w:type="character" w:customStyle="1" w:styleId="124">
    <w:name w:val="样式13 Char"/>
    <w:link w:val="78"/>
    <w:autoRedefine/>
    <w:qFormat/>
    <w:uiPriority w:val="0"/>
    <w:rPr>
      <w:b/>
      <w:bCs/>
      <w:kern w:val="2"/>
      <w:sz w:val="28"/>
      <w:szCs w:val="18"/>
    </w:rPr>
  </w:style>
  <w:style w:type="character" w:customStyle="1" w:styleId="125">
    <w:name w:val="2 Char"/>
    <w:link w:val="79"/>
    <w:autoRedefine/>
    <w:qFormat/>
    <w:uiPriority w:val="0"/>
    <w:rPr>
      <w:spacing w:val="4"/>
      <w:kern w:val="2"/>
      <w:sz w:val="21"/>
      <w:szCs w:val="24"/>
    </w:rPr>
  </w:style>
  <w:style w:type="character" w:customStyle="1" w:styleId="126">
    <w:name w:val="1 Char"/>
    <w:link w:val="80"/>
    <w:autoRedefine/>
    <w:qFormat/>
    <w:uiPriority w:val="0"/>
    <w:rPr>
      <w:kern w:val="2"/>
      <w:sz w:val="21"/>
      <w:szCs w:val="24"/>
    </w:rPr>
  </w:style>
  <w:style w:type="character" w:customStyle="1" w:styleId="127">
    <w:name w:val="样式1 Char"/>
    <w:link w:val="58"/>
    <w:autoRedefine/>
    <w:qFormat/>
    <w:uiPriority w:val="0"/>
    <w:rPr>
      <w:kern w:val="2"/>
      <w:sz w:val="24"/>
      <w:szCs w:val="24"/>
    </w:rPr>
  </w:style>
  <w:style w:type="paragraph" w:styleId="128">
    <w:name w:val="No Spacing"/>
    <w:autoRedefine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image" Target="media/image26.png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footnotes" Target="footnotes.xml"/><Relationship Id="rId29" Type="http://schemas.openxmlformats.org/officeDocument/2006/relationships/image" Target="media/image17.jpeg"/><Relationship Id="rId28" Type="http://schemas.openxmlformats.org/officeDocument/2006/relationships/image" Target="media/image16.emf"/><Relationship Id="rId27" Type="http://schemas.openxmlformats.org/officeDocument/2006/relationships/oleObject" Target="embeddings/oleObject1.bin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D470-5E77-4D13-AE43-4EAEBCF6F4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江苏国泰新点软件有限公司  0512-58188000</Company>
  <Pages>15</Pages>
  <Words>1657</Words>
  <Characters>1693</Characters>
  <Lines>20</Lines>
  <Paragraphs>5</Paragraphs>
  <TotalTime>7</TotalTime>
  <ScaleCrop>false</ScaleCrop>
  <LinksUpToDate>false</LinksUpToDate>
  <CharactersWithSpaces>1705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2020-07-10T03:35:00Z</dcterms:created>
  <dc:creator>yuanxun</dc:creator>
  <cp:lastModifiedBy>zhang</cp:lastModifiedBy>
  <dcterms:modified xsi:type="dcterms:W3CDTF">2026-07-08T11:16:04Z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9871EDE5DF54436CB10AE8221A2B292C_13</vt:lpwstr>
  </property>
  <property fmtid="{D5CDD505-2E9C-101B-9397-08002B2CF9AE}" pid="4" name="KSOTemplateDocerSaveRecord">
    <vt:lpwstr>eyJoZGlkIjoiYmE2YmE0NjUxYzU0MTdiY2I2NjVlYTc4N2RhOWU0MWUiLCJ1c2VySWQiOiI4OTM1OTU0NDkifQ==</vt:lpwstr>
  </property>
</Properties>
</file>